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511581B8" w:rsidR="000306A7" w:rsidRPr="00FB5DE3" w:rsidRDefault="000306A7" w:rsidP="000306A7">
            <w:pPr>
              <w:rPr>
                <w:rFonts w:eastAsia="Calibri"/>
                <w:sz w:val="28"/>
                <w:szCs w:val="28"/>
              </w:rPr>
            </w:pPr>
            <w:r w:rsidRPr="00FB5DE3">
              <w:rPr>
                <w:rFonts w:eastAsia="Calibri"/>
                <w:sz w:val="28"/>
                <w:szCs w:val="28"/>
              </w:rPr>
              <w:t xml:space="preserve">Version: </w:t>
            </w:r>
            <w:r w:rsidR="004C645A">
              <w:rPr>
                <w:rFonts w:eastAsia="Calibri"/>
                <w:sz w:val="28"/>
                <w:szCs w:val="28"/>
              </w:rPr>
              <w:t>20</w:t>
            </w:r>
            <w:r w:rsidR="00A53EB7">
              <w:rPr>
                <w:rFonts w:eastAsia="Calibri"/>
                <w:sz w:val="28"/>
                <w:szCs w:val="28"/>
              </w:rPr>
              <w:t>.0</w:t>
            </w:r>
          </w:p>
          <w:p w14:paraId="420D5525" w14:textId="77777777" w:rsidR="000306A7" w:rsidRPr="00FB5DE3" w:rsidRDefault="000306A7" w:rsidP="000306A7">
            <w:pPr>
              <w:rPr>
                <w:rFonts w:eastAsia="Calibri"/>
                <w:sz w:val="28"/>
                <w:szCs w:val="28"/>
              </w:rPr>
            </w:pPr>
          </w:p>
          <w:p w14:paraId="1488380C" w14:textId="411E543F" w:rsidR="000306A7" w:rsidRPr="00FB5DE3" w:rsidRDefault="000306A7" w:rsidP="000306A7">
            <w:pPr>
              <w:rPr>
                <w:rFonts w:eastAsia="Calibri"/>
                <w:sz w:val="28"/>
                <w:szCs w:val="28"/>
              </w:rPr>
            </w:pPr>
            <w:r w:rsidRPr="00FB5DE3">
              <w:rPr>
                <w:rFonts w:eastAsia="Calibri"/>
                <w:sz w:val="28"/>
                <w:szCs w:val="28"/>
              </w:rPr>
              <w:t xml:space="preserve">Date: </w:t>
            </w:r>
            <w:r w:rsidR="004C645A">
              <w:rPr>
                <w:rFonts w:eastAsia="Calibri"/>
                <w:sz w:val="28"/>
                <w:szCs w:val="28"/>
              </w:rPr>
              <w:t>2024-03</w:t>
            </w:r>
            <w:r w:rsidR="00A53EB7">
              <w:rPr>
                <w:rFonts w:eastAsia="Calibri"/>
                <w:sz w:val="28"/>
                <w:szCs w:val="28"/>
              </w:rPr>
              <w:t>-21</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 xml:space="preserve">T016 </w:t>
            </w:r>
            <w:proofErr w:type="spellStart"/>
            <w:r w:rsidRPr="00D26861">
              <w:rPr>
                <w:szCs w:val="22"/>
              </w:rPr>
              <w:t>Unmeasureable</w:t>
            </w:r>
            <w:proofErr w:type="spellEnd"/>
            <w:r w:rsidRPr="00D26861">
              <w:rPr>
                <w:szCs w:val="22"/>
              </w:rPr>
              <w:t xml:space="preserv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 xml:space="preserve">Sections 2.1,  2.2,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proofErr w:type="spellStart"/>
            <w:r>
              <w:rPr>
                <w:szCs w:val="22"/>
              </w:rPr>
              <w:t>WSoC</w:t>
            </w:r>
            <w:proofErr w:type="spellEnd"/>
            <w:r>
              <w:rPr>
                <w:szCs w:val="22"/>
              </w:rPr>
              <w:t xml:space="preserve">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93640">
        <w:tc>
          <w:tcPr>
            <w:tcW w:w="972" w:type="dxa"/>
            <w:tcBorders>
              <w:left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r w:rsidR="00693640" w14:paraId="057E97DB" w14:textId="77777777" w:rsidTr="00A53EB7">
        <w:tc>
          <w:tcPr>
            <w:tcW w:w="972" w:type="dxa"/>
            <w:tcBorders>
              <w:left w:val="single" w:sz="4" w:space="0" w:color="auto"/>
              <w:right w:val="single" w:sz="4" w:space="0" w:color="auto"/>
            </w:tcBorders>
          </w:tcPr>
          <w:p w14:paraId="60492D8A" w14:textId="6C44A793" w:rsidR="00693640" w:rsidRDefault="00D75278" w:rsidP="00776350">
            <w:pPr>
              <w:spacing w:before="60" w:after="60"/>
              <w:jc w:val="center"/>
              <w:rPr>
                <w:szCs w:val="22"/>
              </w:rPr>
            </w:pPr>
            <w:r>
              <w:rPr>
                <w:szCs w:val="22"/>
              </w:rPr>
              <w:t>18.0</w:t>
            </w:r>
          </w:p>
        </w:tc>
        <w:tc>
          <w:tcPr>
            <w:tcW w:w="1263" w:type="dxa"/>
            <w:tcBorders>
              <w:left w:val="single" w:sz="4" w:space="0" w:color="auto"/>
              <w:right w:val="single" w:sz="4" w:space="0" w:color="auto"/>
            </w:tcBorders>
          </w:tcPr>
          <w:p w14:paraId="7264F26D" w14:textId="3459B3B1" w:rsidR="00693640" w:rsidRDefault="00693640" w:rsidP="00776350">
            <w:pPr>
              <w:spacing w:before="60" w:after="60"/>
              <w:rPr>
                <w:szCs w:val="22"/>
              </w:rPr>
            </w:pPr>
            <w:r>
              <w:rPr>
                <w:szCs w:val="22"/>
              </w:rPr>
              <w:t>2022-03-24</w:t>
            </w:r>
          </w:p>
        </w:tc>
        <w:tc>
          <w:tcPr>
            <w:tcW w:w="2976" w:type="dxa"/>
            <w:tcBorders>
              <w:top w:val="single" w:sz="4" w:space="0" w:color="auto"/>
              <w:left w:val="single" w:sz="4" w:space="0" w:color="auto"/>
              <w:bottom w:val="single" w:sz="4" w:space="0" w:color="auto"/>
              <w:right w:val="single" w:sz="4" w:space="0" w:color="auto"/>
            </w:tcBorders>
          </w:tcPr>
          <w:p w14:paraId="25B543FF" w14:textId="7624E577" w:rsidR="00693640" w:rsidRPr="00D26861" w:rsidRDefault="004A6EB6" w:rsidP="00776350">
            <w:pPr>
              <w:spacing w:before="60" w:after="60"/>
              <w:rPr>
                <w:szCs w:val="22"/>
              </w:rPr>
            </w:pPr>
            <w:r>
              <w:rPr>
                <w:szCs w:val="22"/>
              </w:rPr>
              <w:t>Multiple UPRNs</w:t>
            </w:r>
          </w:p>
        </w:tc>
        <w:tc>
          <w:tcPr>
            <w:tcW w:w="1586" w:type="dxa"/>
            <w:tcBorders>
              <w:top w:val="single" w:sz="4" w:space="0" w:color="auto"/>
              <w:left w:val="single" w:sz="4" w:space="0" w:color="auto"/>
              <w:bottom w:val="single" w:sz="4" w:space="0" w:color="auto"/>
              <w:right w:val="single" w:sz="4" w:space="0" w:color="auto"/>
            </w:tcBorders>
          </w:tcPr>
          <w:p w14:paraId="35FE65FA" w14:textId="4E7FB64B" w:rsidR="00D50F16" w:rsidRPr="00D26861" w:rsidRDefault="00E37D07" w:rsidP="00776350">
            <w:pPr>
              <w:spacing w:before="60" w:after="60"/>
              <w:rPr>
                <w:szCs w:val="22"/>
              </w:rPr>
            </w:pPr>
            <w:r>
              <w:rPr>
                <w:szCs w:val="22"/>
              </w:rPr>
              <w:t>MCCP269</w:t>
            </w:r>
          </w:p>
        </w:tc>
        <w:tc>
          <w:tcPr>
            <w:tcW w:w="2667" w:type="dxa"/>
            <w:tcBorders>
              <w:top w:val="single" w:sz="4" w:space="0" w:color="auto"/>
              <w:left w:val="single" w:sz="4" w:space="0" w:color="auto"/>
              <w:bottom w:val="single" w:sz="4" w:space="0" w:color="auto"/>
              <w:right w:val="single" w:sz="4" w:space="0" w:color="auto"/>
            </w:tcBorders>
          </w:tcPr>
          <w:p w14:paraId="7B9B0793" w14:textId="4E21E330" w:rsidR="00693640" w:rsidRPr="00D26861" w:rsidRDefault="00E37D07" w:rsidP="00776350">
            <w:pPr>
              <w:spacing w:before="60" w:after="60"/>
              <w:rPr>
                <w:szCs w:val="22"/>
              </w:rPr>
            </w:pPr>
            <w:r>
              <w:rPr>
                <w:szCs w:val="22"/>
              </w:rPr>
              <w:t>Section 2.1.1</w:t>
            </w:r>
          </w:p>
        </w:tc>
      </w:tr>
      <w:tr w:rsidR="00A53EB7" w14:paraId="5EA4B167" w14:textId="77777777" w:rsidTr="004C645A">
        <w:tc>
          <w:tcPr>
            <w:tcW w:w="972" w:type="dxa"/>
            <w:tcBorders>
              <w:left w:val="single" w:sz="4" w:space="0" w:color="auto"/>
              <w:right w:val="single" w:sz="4" w:space="0" w:color="auto"/>
            </w:tcBorders>
          </w:tcPr>
          <w:p w14:paraId="5D9CBD9E" w14:textId="426FE614" w:rsidR="00A53EB7" w:rsidRDefault="00A53EB7" w:rsidP="00776350">
            <w:pPr>
              <w:spacing w:before="60" w:after="60"/>
              <w:jc w:val="center"/>
              <w:rPr>
                <w:szCs w:val="22"/>
              </w:rPr>
            </w:pPr>
            <w:r>
              <w:rPr>
                <w:szCs w:val="22"/>
              </w:rPr>
              <w:t>19.0</w:t>
            </w:r>
          </w:p>
        </w:tc>
        <w:tc>
          <w:tcPr>
            <w:tcW w:w="1263" w:type="dxa"/>
            <w:tcBorders>
              <w:left w:val="single" w:sz="4" w:space="0" w:color="auto"/>
              <w:right w:val="single" w:sz="4" w:space="0" w:color="auto"/>
            </w:tcBorders>
          </w:tcPr>
          <w:p w14:paraId="6123316F" w14:textId="2F3B26A7" w:rsidR="00A53EB7" w:rsidRDefault="0083506E" w:rsidP="00776350">
            <w:pPr>
              <w:spacing w:before="60" w:after="60"/>
              <w:rPr>
                <w:szCs w:val="22"/>
              </w:rPr>
            </w:pPr>
            <w:r>
              <w:rPr>
                <w:szCs w:val="22"/>
              </w:rPr>
              <w:t>2023-09-21</w:t>
            </w:r>
          </w:p>
        </w:tc>
        <w:tc>
          <w:tcPr>
            <w:tcW w:w="2976" w:type="dxa"/>
            <w:tcBorders>
              <w:top w:val="single" w:sz="4" w:space="0" w:color="auto"/>
              <w:left w:val="single" w:sz="4" w:space="0" w:color="auto"/>
              <w:bottom w:val="single" w:sz="4" w:space="0" w:color="auto"/>
              <w:right w:val="single" w:sz="4" w:space="0" w:color="auto"/>
            </w:tcBorders>
          </w:tcPr>
          <w:p w14:paraId="1E2C63C4" w14:textId="2B24B8FF" w:rsidR="00A53EB7" w:rsidRDefault="0045715C" w:rsidP="00776350">
            <w:pPr>
              <w:spacing w:before="60" w:after="60"/>
              <w:rPr>
                <w:szCs w:val="22"/>
              </w:rPr>
            </w:pPr>
            <w:r>
              <w:rPr>
                <w:szCs w:val="22"/>
              </w:rPr>
              <w:t>Improvements to Gap Site process</w:t>
            </w:r>
          </w:p>
        </w:tc>
        <w:tc>
          <w:tcPr>
            <w:tcW w:w="1586" w:type="dxa"/>
            <w:tcBorders>
              <w:top w:val="single" w:sz="4" w:space="0" w:color="auto"/>
              <w:left w:val="single" w:sz="4" w:space="0" w:color="auto"/>
              <w:bottom w:val="single" w:sz="4" w:space="0" w:color="auto"/>
              <w:right w:val="single" w:sz="4" w:space="0" w:color="auto"/>
            </w:tcBorders>
          </w:tcPr>
          <w:p w14:paraId="27FC1405" w14:textId="520C1B39" w:rsidR="00A53EB7" w:rsidRDefault="0045715C" w:rsidP="00776350">
            <w:pPr>
              <w:spacing w:before="60" w:after="60"/>
              <w:rPr>
                <w:szCs w:val="22"/>
              </w:rPr>
            </w:pPr>
            <w:r>
              <w:rPr>
                <w:szCs w:val="22"/>
              </w:rPr>
              <w:t>MCCP292</w:t>
            </w:r>
          </w:p>
        </w:tc>
        <w:tc>
          <w:tcPr>
            <w:tcW w:w="2667" w:type="dxa"/>
            <w:tcBorders>
              <w:top w:val="single" w:sz="4" w:space="0" w:color="auto"/>
              <w:left w:val="single" w:sz="4" w:space="0" w:color="auto"/>
              <w:bottom w:val="single" w:sz="4" w:space="0" w:color="auto"/>
              <w:right w:val="single" w:sz="4" w:space="0" w:color="auto"/>
            </w:tcBorders>
          </w:tcPr>
          <w:p w14:paraId="0C98D80A" w14:textId="54A4A771" w:rsidR="00A53EB7" w:rsidRDefault="003224F3" w:rsidP="00776350">
            <w:pPr>
              <w:spacing w:before="60" w:after="60"/>
              <w:rPr>
                <w:szCs w:val="22"/>
              </w:rPr>
            </w:pPr>
            <w:r>
              <w:rPr>
                <w:szCs w:val="22"/>
              </w:rPr>
              <w:t>Sections 3.1, 3.2</w:t>
            </w:r>
            <w:r w:rsidR="004D1A36">
              <w:rPr>
                <w:szCs w:val="22"/>
              </w:rPr>
              <w:t>, 4.2 and 4.3</w:t>
            </w:r>
          </w:p>
        </w:tc>
      </w:tr>
      <w:tr w:rsidR="004C645A" w14:paraId="68D2EF94" w14:textId="77777777" w:rsidTr="00626D40">
        <w:tc>
          <w:tcPr>
            <w:tcW w:w="972" w:type="dxa"/>
            <w:tcBorders>
              <w:left w:val="single" w:sz="4" w:space="0" w:color="auto"/>
              <w:bottom w:val="single" w:sz="4" w:space="0" w:color="auto"/>
              <w:right w:val="single" w:sz="4" w:space="0" w:color="auto"/>
            </w:tcBorders>
          </w:tcPr>
          <w:p w14:paraId="7A5CC70A" w14:textId="14A0D4C0" w:rsidR="004C645A" w:rsidRDefault="004C645A" w:rsidP="00776350">
            <w:pPr>
              <w:spacing w:before="60" w:after="60"/>
              <w:jc w:val="center"/>
              <w:rPr>
                <w:szCs w:val="22"/>
              </w:rPr>
            </w:pPr>
            <w:r>
              <w:rPr>
                <w:szCs w:val="22"/>
              </w:rPr>
              <w:t>20.0</w:t>
            </w:r>
          </w:p>
        </w:tc>
        <w:tc>
          <w:tcPr>
            <w:tcW w:w="1263" w:type="dxa"/>
            <w:tcBorders>
              <w:left w:val="single" w:sz="4" w:space="0" w:color="auto"/>
              <w:bottom w:val="single" w:sz="4" w:space="0" w:color="auto"/>
              <w:right w:val="single" w:sz="4" w:space="0" w:color="auto"/>
            </w:tcBorders>
          </w:tcPr>
          <w:p w14:paraId="544CD58D" w14:textId="0C36D909" w:rsidR="004C645A" w:rsidRDefault="004C645A" w:rsidP="00776350">
            <w:pPr>
              <w:spacing w:before="60" w:after="60"/>
              <w:rPr>
                <w:szCs w:val="22"/>
              </w:rPr>
            </w:pPr>
            <w:r>
              <w:rPr>
                <w:szCs w:val="22"/>
              </w:rPr>
              <w:t>2024-03-21</w:t>
            </w:r>
          </w:p>
        </w:tc>
        <w:tc>
          <w:tcPr>
            <w:tcW w:w="2976" w:type="dxa"/>
            <w:tcBorders>
              <w:top w:val="single" w:sz="4" w:space="0" w:color="auto"/>
              <w:left w:val="single" w:sz="4" w:space="0" w:color="auto"/>
              <w:bottom w:val="single" w:sz="4" w:space="0" w:color="auto"/>
              <w:right w:val="single" w:sz="4" w:space="0" w:color="auto"/>
            </w:tcBorders>
          </w:tcPr>
          <w:p w14:paraId="22A95313" w14:textId="247CF412" w:rsidR="004C645A" w:rsidRDefault="0017704C" w:rsidP="00776350">
            <w:pPr>
              <w:spacing w:before="60" w:after="60"/>
              <w:rPr>
                <w:szCs w:val="22"/>
              </w:rPr>
            </w:pPr>
            <w:r>
              <w:t>Introduction of SAA Class and SAA Core Description data items</w:t>
            </w:r>
          </w:p>
        </w:tc>
        <w:tc>
          <w:tcPr>
            <w:tcW w:w="1586" w:type="dxa"/>
            <w:tcBorders>
              <w:top w:val="single" w:sz="4" w:space="0" w:color="auto"/>
              <w:left w:val="single" w:sz="4" w:space="0" w:color="auto"/>
              <w:bottom w:val="single" w:sz="4" w:space="0" w:color="auto"/>
              <w:right w:val="single" w:sz="4" w:space="0" w:color="auto"/>
            </w:tcBorders>
          </w:tcPr>
          <w:p w14:paraId="54E4B301" w14:textId="2B864EB4" w:rsidR="004C645A" w:rsidRDefault="004C645A" w:rsidP="00776350">
            <w:pPr>
              <w:spacing w:before="60" w:after="60"/>
              <w:rPr>
                <w:szCs w:val="22"/>
              </w:rPr>
            </w:pPr>
            <w:r>
              <w:rPr>
                <w:szCs w:val="22"/>
              </w:rPr>
              <w:t>MCCP295</w:t>
            </w:r>
          </w:p>
        </w:tc>
        <w:tc>
          <w:tcPr>
            <w:tcW w:w="2667" w:type="dxa"/>
            <w:tcBorders>
              <w:top w:val="single" w:sz="4" w:space="0" w:color="auto"/>
              <w:left w:val="single" w:sz="4" w:space="0" w:color="auto"/>
              <w:bottom w:val="single" w:sz="4" w:space="0" w:color="auto"/>
              <w:right w:val="single" w:sz="4" w:space="0" w:color="auto"/>
            </w:tcBorders>
          </w:tcPr>
          <w:p w14:paraId="64B4028E" w14:textId="72E7E6E2" w:rsidR="004C645A" w:rsidRDefault="005730E3" w:rsidP="00776350">
            <w:pPr>
              <w:spacing w:before="60" w:after="60"/>
              <w:rPr>
                <w:szCs w:val="22"/>
              </w:rPr>
            </w:pPr>
            <w:r>
              <w:rPr>
                <w:szCs w:val="22"/>
              </w:rPr>
              <w:t>Section 2.1.1</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3AAC2604" w14:textId="15AA7EAD" w:rsidR="005730E3" w:rsidRDefault="00D6398F">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\o "1-2" \h \z \u </w:instrText>
          </w:r>
          <w:r>
            <w:fldChar w:fldCharType="separate"/>
          </w:r>
          <w:hyperlink w:anchor="_Toc153896218" w:history="1">
            <w:r w:rsidR="005730E3" w:rsidRPr="00432DB6">
              <w:rPr>
                <w:rStyle w:val="Hyperlink"/>
              </w:rPr>
              <w:t>1.</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rPr>
              <w:t>Purpose and scope</w:t>
            </w:r>
            <w:r w:rsidR="005730E3">
              <w:rPr>
                <w:webHidden/>
              </w:rPr>
              <w:tab/>
            </w:r>
            <w:r w:rsidR="005730E3">
              <w:rPr>
                <w:webHidden/>
              </w:rPr>
              <w:fldChar w:fldCharType="begin"/>
            </w:r>
            <w:r w:rsidR="005730E3">
              <w:rPr>
                <w:webHidden/>
              </w:rPr>
              <w:instrText xml:space="preserve"> PAGEREF _Toc153896218 \h </w:instrText>
            </w:r>
            <w:r w:rsidR="005730E3">
              <w:rPr>
                <w:webHidden/>
              </w:rPr>
            </w:r>
            <w:r w:rsidR="005730E3">
              <w:rPr>
                <w:webHidden/>
              </w:rPr>
              <w:fldChar w:fldCharType="separate"/>
            </w:r>
            <w:r w:rsidR="00A61CFE">
              <w:rPr>
                <w:webHidden/>
              </w:rPr>
              <w:t>5</w:t>
            </w:r>
            <w:r w:rsidR="005730E3">
              <w:rPr>
                <w:webHidden/>
              </w:rPr>
              <w:fldChar w:fldCharType="end"/>
            </w:r>
          </w:hyperlink>
        </w:p>
        <w:p w14:paraId="793B3586" w14:textId="1845AA02" w:rsidR="005730E3" w:rsidRDefault="00A61CFE">
          <w:pPr>
            <w:pStyle w:val="TOC1"/>
            <w:rPr>
              <w:rFonts w:asciiTheme="minorHAnsi" w:eastAsiaTheme="minorEastAsia" w:hAnsiTheme="minorHAnsi" w:cstheme="minorBidi"/>
              <w:color w:val="auto"/>
              <w:kern w:val="2"/>
              <w:lang w:eastAsia="en-GB"/>
              <w14:ligatures w14:val="standardContextual"/>
            </w:rPr>
          </w:pPr>
          <w:hyperlink w:anchor="_Toc153896219" w:history="1">
            <w:r w:rsidR="005730E3" w:rsidRPr="00432DB6">
              <w:rPr>
                <w:rStyle w:val="Hyperlink"/>
                <w:iCs/>
              </w:rPr>
              <w:t>2.</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iCs/>
              </w:rPr>
              <w:t>New Connections</w:t>
            </w:r>
            <w:r w:rsidR="005730E3">
              <w:rPr>
                <w:webHidden/>
              </w:rPr>
              <w:tab/>
            </w:r>
            <w:r w:rsidR="005730E3">
              <w:rPr>
                <w:webHidden/>
              </w:rPr>
              <w:fldChar w:fldCharType="begin"/>
            </w:r>
            <w:r w:rsidR="005730E3">
              <w:rPr>
                <w:webHidden/>
              </w:rPr>
              <w:instrText xml:space="preserve"> PAGEREF _Toc153896219 \h </w:instrText>
            </w:r>
            <w:r w:rsidR="005730E3">
              <w:rPr>
                <w:webHidden/>
              </w:rPr>
            </w:r>
            <w:r w:rsidR="005730E3">
              <w:rPr>
                <w:webHidden/>
              </w:rPr>
              <w:fldChar w:fldCharType="separate"/>
            </w:r>
            <w:r>
              <w:rPr>
                <w:webHidden/>
              </w:rPr>
              <w:t>6</w:t>
            </w:r>
            <w:r w:rsidR="005730E3">
              <w:rPr>
                <w:webHidden/>
              </w:rPr>
              <w:fldChar w:fldCharType="end"/>
            </w:r>
          </w:hyperlink>
        </w:p>
        <w:p w14:paraId="6F816038" w14:textId="30E52C59"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0" w:history="1">
            <w:r w:rsidR="005730E3" w:rsidRPr="00432DB6">
              <w:rPr>
                <w:rStyle w:val="Hyperlink"/>
              </w:rPr>
              <w:t>2.1</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Process Description</w:t>
            </w:r>
            <w:r w:rsidR="005730E3">
              <w:rPr>
                <w:webHidden/>
              </w:rPr>
              <w:tab/>
            </w:r>
            <w:r w:rsidR="005730E3">
              <w:rPr>
                <w:webHidden/>
              </w:rPr>
              <w:fldChar w:fldCharType="begin"/>
            </w:r>
            <w:r w:rsidR="005730E3">
              <w:rPr>
                <w:webHidden/>
              </w:rPr>
              <w:instrText xml:space="preserve"> PAGEREF _Toc153896220 \h </w:instrText>
            </w:r>
            <w:r w:rsidR="005730E3">
              <w:rPr>
                <w:webHidden/>
              </w:rPr>
            </w:r>
            <w:r w:rsidR="005730E3">
              <w:rPr>
                <w:webHidden/>
              </w:rPr>
              <w:fldChar w:fldCharType="separate"/>
            </w:r>
            <w:r>
              <w:rPr>
                <w:webHidden/>
              </w:rPr>
              <w:t>6</w:t>
            </w:r>
            <w:r w:rsidR="005730E3">
              <w:rPr>
                <w:webHidden/>
              </w:rPr>
              <w:fldChar w:fldCharType="end"/>
            </w:r>
          </w:hyperlink>
        </w:p>
        <w:p w14:paraId="51553F00" w14:textId="3D4566A3" w:rsidR="005730E3" w:rsidRDefault="00A61CFE">
          <w:pPr>
            <w:pStyle w:val="TOC1"/>
            <w:rPr>
              <w:rFonts w:asciiTheme="minorHAnsi" w:eastAsiaTheme="minorEastAsia" w:hAnsiTheme="minorHAnsi" w:cstheme="minorBidi"/>
              <w:color w:val="auto"/>
              <w:kern w:val="2"/>
              <w:lang w:eastAsia="en-GB"/>
              <w14:ligatures w14:val="standardContextual"/>
            </w:rPr>
          </w:pPr>
          <w:hyperlink w:anchor="_Toc153896221" w:history="1">
            <w:r w:rsidR="005730E3" w:rsidRPr="00432DB6">
              <w:rPr>
                <w:rStyle w:val="Hyperlink"/>
                <w:iCs/>
              </w:rPr>
              <w:t>3.</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iCs/>
              </w:rPr>
              <w:t xml:space="preserve">New Supply Points - </w:t>
            </w:r>
            <w:r w:rsidR="005730E3" w:rsidRPr="00432DB6">
              <w:rPr>
                <w:rStyle w:val="Hyperlink"/>
              </w:rPr>
              <w:t>Entry Change of Use or Gap Site</w:t>
            </w:r>
            <w:r w:rsidR="005730E3">
              <w:rPr>
                <w:webHidden/>
              </w:rPr>
              <w:tab/>
            </w:r>
            <w:r w:rsidR="005730E3">
              <w:rPr>
                <w:webHidden/>
              </w:rPr>
              <w:fldChar w:fldCharType="begin"/>
            </w:r>
            <w:r w:rsidR="005730E3">
              <w:rPr>
                <w:webHidden/>
              </w:rPr>
              <w:instrText xml:space="preserve"> PAGEREF _Toc153896221 \h </w:instrText>
            </w:r>
            <w:r w:rsidR="005730E3">
              <w:rPr>
                <w:webHidden/>
              </w:rPr>
            </w:r>
            <w:r w:rsidR="005730E3">
              <w:rPr>
                <w:webHidden/>
              </w:rPr>
              <w:fldChar w:fldCharType="separate"/>
            </w:r>
            <w:r>
              <w:rPr>
                <w:webHidden/>
              </w:rPr>
              <w:t>11</w:t>
            </w:r>
            <w:r w:rsidR="005730E3">
              <w:rPr>
                <w:webHidden/>
              </w:rPr>
              <w:fldChar w:fldCharType="end"/>
            </w:r>
          </w:hyperlink>
        </w:p>
        <w:p w14:paraId="4E5ECA2D" w14:textId="6E5F94C0"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2" w:history="1">
            <w:r w:rsidR="005730E3" w:rsidRPr="00432DB6">
              <w:rPr>
                <w:rStyle w:val="Hyperlink"/>
              </w:rPr>
              <w:t>3.1</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Licensed Provider Initiated</w:t>
            </w:r>
            <w:r w:rsidR="005730E3">
              <w:rPr>
                <w:webHidden/>
              </w:rPr>
              <w:tab/>
            </w:r>
            <w:r w:rsidR="005730E3">
              <w:rPr>
                <w:webHidden/>
              </w:rPr>
              <w:fldChar w:fldCharType="begin"/>
            </w:r>
            <w:r w:rsidR="005730E3">
              <w:rPr>
                <w:webHidden/>
              </w:rPr>
              <w:instrText xml:space="preserve"> PAGEREF _Toc153896222 \h </w:instrText>
            </w:r>
            <w:r w:rsidR="005730E3">
              <w:rPr>
                <w:webHidden/>
              </w:rPr>
            </w:r>
            <w:r w:rsidR="005730E3">
              <w:rPr>
                <w:webHidden/>
              </w:rPr>
              <w:fldChar w:fldCharType="separate"/>
            </w:r>
            <w:r>
              <w:rPr>
                <w:webHidden/>
              </w:rPr>
              <w:t>11</w:t>
            </w:r>
            <w:r w:rsidR="005730E3">
              <w:rPr>
                <w:webHidden/>
              </w:rPr>
              <w:fldChar w:fldCharType="end"/>
            </w:r>
          </w:hyperlink>
        </w:p>
        <w:p w14:paraId="257EFEC2" w14:textId="52278499"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3" w:history="1">
            <w:r w:rsidR="005730E3" w:rsidRPr="00432DB6">
              <w:rPr>
                <w:rStyle w:val="Hyperlink"/>
              </w:rPr>
              <w:t>3.2</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Where Scottish Water becomes aware of a Gap Site</w:t>
            </w:r>
            <w:r w:rsidR="005730E3">
              <w:rPr>
                <w:webHidden/>
              </w:rPr>
              <w:tab/>
            </w:r>
            <w:r w:rsidR="005730E3">
              <w:rPr>
                <w:webHidden/>
              </w:rPr>
              <w:fldChar w:fldCharType="begin"/>
            </w:r>
            <w:r w:rsidR="005730E3">
              <w:rPr>
                <w:webHidden/>
              </w:rPr>
              <w:instrText xml:space="preserve"> PAGEREF _Toc153896223 \h </w:instrText>
            </w:r>
            <w:r w:rsidR="005730E3">
              <w:rPr>
                <w:webHidden/>
              </w:rPr>
            </w:r>
            <w:r w:rsidR="005730E3">
              <w:rPr>
                <w:webHidden/>
              </w:rPr>
              <w:fldChar w:fldCharType="separate"/>
            </w:r>
            <w:r>
              <w:rPr>
                <w:webHidden/>
              </w:rPr>
              <w:t>13</w:t>
            </w:r>
            <w:r w:rsidR="005730E3">
              <w:rPr>
                <w:webHidden/>
              </w:rPr>
              <w:fldChar w:fldCharType="end"/>
            </w:r>
          </w:hyperlink>
        </w:p>
        <w:p w14:paraId="14002D39" w14:textId="6E97219F"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4" w:history="1">
            <w:r w:rsidR="005730E3" w:rsidRPr="00432DB6">
              <w:rPr>
                <w:rStyle w:val="Hyperlink"/>
              </w:rPr>
              <w:t>3.3</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Where Scottish Water becomes aware of an Entry Change of Use</w:t>
            </w:r>
            <w:r w:rsidR="005730E3">
              <w:rPr>
                <w:webHidden/>
              </w:rPr>
              <w:tab/>
            </w:r>
            <w:r w:rsidR="005730E3">
              <w:rPr>
                <w:webHidden/>
              </w:rPr>
              <w:fldChar w:fldCharType="begin"/>
            </w:r>
            <w:r w:rsidR="005730E3">
              <w:rPr>
                <w:webHidden/>
              </w:rPr>
              <w:instrText xml:space="preserve"> PAGEREF _Toc153896224 \h </w:instrText>
            </w:r>
            <w:r w:rsidR="005730E3">
              <w:rPr>
                <w:webHidden/>
              </w:rPr>
            </w:r>
            <w:r w:rsidR="005730E3">
              <w:rPr>
                <w:webHidden/>
              </w:rPr>
              <w:fldChar w:fldCharType="separate"/>
            </w:r>
            <w:r>
              <w:rPr>
                <w:webHidden/>
              </w:rPr>
              <w:t>14</w:t>
            </w:r>
            <w:r w:rsidR="005730E3">
              <w:rPr>
                <w:webHidden/>
              </w:rPr>
              <w:fldChar w:fldCharType="end"/>
            </w:r>
          </w:hyperlink>
        </w:p>
        <w:p w14:paraId="65D3A7E4" w14:textId="743858ED" w:rsidR="005730E3" w:rsidRDefault="00A61CFE">
          <w:pPr>
            <w:pStyle w:val="TOC1"/>
            <w:rPr>
              <w:rFonts w:asciiTheme="minorHAnsi" w:eastAsiaTheme="minorEastAsia" w:hAnsiTheme="minorHAnsi" w:cstheme="minorBidi"/>
              <w:color w:val="auto"/>
              <w:kern w:val="2"/>
              <w:lang w:eastAsia="en-GB"/>
              <w14:ligatures w14:val="standardContextual"/>
            </w:rPr>
          </w:pPr>
          <w:hyperlink w:anchor="_Toc153896225" w:history="1">
            <w:r w:rsidR="005730E3" w:rsidRPr="00432DB6">
              <w:rPr>
                <w:rStyle w:val="Hyperlink"/>
                <w:iCs/>
              </w:rPr>
              <w:t>4.</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iCs/>
              </w:rPr>
              <w:t>Common Phases of the Connection Process</w:t>
            </w:r>
            <w:r w:rsidR="005730E3">
              <w:rPr>
                <w:webHidden/>
              </w:rPr>
              <w:tab/>
            </w:r>
            <w:r w:rsidR="005730E3">
              <w:rPr>
                <w:webHidden/>
              </w:rPr>
              <w:fldChar w:fldCharType="begin"/>
            </w:r>
            <w:r w:rsidR="005730E3">
              <w:rPr>
                <w:webHidden/>
              </w:rPr>
              <w:instrText xml:space="preserve"> PAGEREF _Toc153896225 \h </w:instrText>
            </w:r>
            <w:r w:rsidR="005730E3">
              <w:rPr>
                <w:webHidden/>
              </w:rPr>
            </w:r>
            <w:r w:rsidR="005730E3">
              <w:rPr>
                <w:webHidden/>
              </w:rPr>
              <w:fldChar w:fldCharType="separate"/>
            </w:r>
            <w:r>
              <w:rPr>
                <w:webHidden/>
              </w:rPr>
              <w:t>16</w:t>
            </w:r>
            <w:r w:rsidR="005730E3">
              <w:rPr>
                <w:webHidden/>
              </w:rPr>
              <w:fldChar w:fldCharType="end"/>
            </w:r>
          </w:hyperlink>
        </w:p>
        <w:p w14:paraId="03DCBAE9" w14:textId="31B8F9F5"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6" w:history="1">
            <w:r w:rsidR="005730E3" w:rsidRPr="00432DB6">
              <w:rPr>
                <w:rStyle w:val="Hyperlink"/>
              </w:rPr>
              <w:t>4.1</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Description of Process Steps</w:t>
            </w:r>
            <w:r w:rsidR="005730E3">
              <w:rPr>
                <w:webHidden/>
              </w:rPr>
              <w:tab/>
            </w:r>
            <w:r w:rsidR="005730E3">
              <w:rPr>
                <w:webHidden/>
              </w:rPr>
              <w:fldChar w:fldCharType="begin"/>
            </w:r>
            <w:r w:rsidR="005730E3">
              <w:rPr>
                <w:webHidden/>
              </w:rPr>
              <w:instrText xml:space="preserve"> PAGEREF _Toc153896226 \h </w:instrText>
            </w:r>
            <w:r w:rsidR="005730E3">
              <w:rPr>
                <w:webHidden/>
              </w:rPr>
            </w:r>
            <w:r w:rsidR="005730E3">
              <w:rPr>
                <w:webHidden/>
              </w:rPr>
              <w:fldChar w:fldCharType="separate"/>
            </w:r>
            <w:r>
              <w:rPr>
                <w:webHidden/>
              </w:rPr>
              <w:t>16</w:t>
            </w:r>
            <w:r w:rsidR="005730E3">
              <w:rPr>
                <w:webHidden/>
              </w:rPr>
              <w:fldChar w:fldCharType="end"/>
            </w:r>
          </w:hyperlink>
        </w:p>
        <w:p w14:paraId="45FB3165" w14:textId="37CD2A95"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7" w:history="1">
            <w:r w:rsidR="005730E3" w:rsidRPr="00432DB6">
              <w:rPr>
                <w:rStyle w:val="Hyperlink"/>
              </w:rPr>
              <w:t>4.2</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Process Diagrams</w:t>
            </w:r>
            <w:r w:rsidR="005730E3">
              <w:rPr>
                <w:webHidden/>
              </w:rPr>
              <w:tab/>
            </w:r>
            <w:r w:rsidR="005730E3">
              <w:rPr>
                <w:webHidden/>
              </w:rPr>
              <w:fldChar w:fldCharType="begin"/>
            </w:r>
            <w:r w:rsidR="005730E3">
              <w:rPr>
                <w:webHidden/>
              </w:rPr>
              <w:instrText xml:space="preserve"> PAGEREF _Toc153896227 \h </w:instrText>
            </w:r>
            <w:r w:rsidR="005730E3">
              <w:rPr>
                <w:webHidden/>
              </w:rPr>
            </w:r>
            <w:r w:rsidR="005730E3">
              <w:rPr>
                <w:webHidden/>
              </w:rPr>
              <w:fldChar w:fldCharType="separate"/>
            </w:r>
            <w:r>
              <w:rPr>
                <w:webHidden/>
              </w:rPr>
              <w:t>26</w:t>
            </w:r>
            <w:r w:rsidR="005730E3">
              <w:rPr>
                <w:webHidden/>
              </w:rPr>
              <w:fldChar w:fldCharType="end"/>
            </w:r>
          </w:hyperlink>
        </w:p>
        <w:p w14:paraId="50A2C4BC" w14:textId="4CC53A04" w:rsidR="005730E3" w:rsidRDefault="00A61CFE"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8" w:history="1">
            <w:r w:rsidR="005730E3" w:rsidRPr="00432DB6">
              <w:rPr>
                <w:rStyle w:val="Hyperlink"/>
              </w:rPr>
              <w:t>4.3</w:t>
            </w:r>
            <w:r w:rsidR="005730E3">
              <w:rPr>
                <w:rFonts w:asciiTheme="minorHAnsi" w:eastAsiaTheme="minorEastAsia" w:hAnsiTheme="minorHAnsi" w:cstheme="minorBidi"/>
                <w:color w:val="auto"/>
                <w:kern w:val="2"/>
                <w:sz w:val="22"/>
                <w:szCs w:val="22"/>
                <w:lang w:eastAsia="en-GB"/>
                <w14:ligatures w14:val="standardContextual"/>
              </w:rPr>
              <w:tab/>
            </w:r>
            <w:r w:rsidR="005730E3" w:rsidRPr="00432DB6">
              <w:rPr>
                <w:rStyle w:val="Hyperlink"/>
              </w:rPr>
              <w:t>Interface and Timetable Requirements</w:t>
            </w:r>
            <w:r w:rsidR="005730E3">
              <w:rPr>
                <w:webHidden/>
              </w:rPr>
              <w:tab/>
            </w:r>
            <w:r w:rsidR="005730E3">
              <w:rPr>
                <w:webHidden/>
              </w:rPr>
              <w:fldChar w:fldCharType="begin"/>
            </w:r>
            <w:r w:rsidR="005730E3">
              <w:rPr>
                <w:webHidden/>
              </w:rPr>
              <w:instrText xml:space="preserve"> PAGEREF _Toc153896228 \h </w:instrText>
            </w:r>
            <w:r w:rsidR="005730E3">
              <w:rPr>
                <w:webHidden/>
              </w:rPr>
            </w:r>
            <w:r w:rsidR="005730E3">
              <w:rPr>
                <w:webHidden/>
              </w:rPr>
              <w:fldChar w:fldCharType="separate"/>
            </w:r>
            <w:r>
              <w:rPr>
                <w:webHidden/>
              </w:rPr>
              <w:t>31</w:t>
            </w:r>
            <w:r w:rsidR="005730E3">
              <w:rPr>
                <w:webHidden/>
              </w:rPr>
              <w:fldChar w:fldCharType="end"/>
            </w:r>
          </w:hyperlink>
        </w:p>
        <w:p w14:paraId="0F62405C" w14:textId="18A4E9CE" w:rsidR="005730E3" w:rsidRDefault="00A61CFE">
          <w:pPr>
            <w:pStyle w:val="TOC1"/>
            <w:rPr>
              <w:rFonts w:asciiTheme="minorHAnsi" w:eastAsiaTheme="minorEastAsia" w:hAnsiTheme="minorHAnsi" w:cstheme="minorBidi"/>
              <w:color w:val="auto"/>
              <w:kern w:val="2"/>
              <w:lang w:eastAsia="en-GB"/>
              <w14:ligatures w14:val="standardContextual"/>
            </w:rPr>
          </w:pPr>
          <w:hyperlink w:anchor="_Toc153896229" w:history="1">
            <w:r w:rsidR="005730E3" w:rsidRPr="00432DB6">
              <w:rPr>
                <w:rStyle w:val="Hyperlink"/>
              </w:rPr>
              <w:t>Appendix 1: Registration Data Checks at a New Connection/New Supply Point</w:t>
            </w:r>
            <w:r w:rsidR="005730E3">
              <w:rPr>
                <w:webHidden/>
              </w:rPr>
              <w:tab/>
            </w:r>
            <w:r w:rsidR="005730E3">
              <w:rPr>
                <w:webHidden/>
              </w:rPr>
              <w:fldChar w:fldCharType="begin"/>
            </w:r>
            <w:r w:rsidR="005730E3">
              <w:rPr>
                <w:webHidden/>
              </w:rPr>
              <w:instrText xml:space="preserve"> PAGEREF _Toc153896229 \h </w:instrText>
            </w:r>
            <w:r w:rsidR="005730E3">
              <w:rPr>
                <w:webHidden/>
              </w:rPr>
            </w:r>
            <w:r w:rsidR="005730E3">
              <w:rPr>
                <w:webHidden/>
              </w:rPr>
              <w:fldChar w:fldCharType="separate"/>
            </w:r>
            <w:r>
              <w:rPr>
                <w:webHidden/>
              </w:rPr>
              <w:t>35</w:t>
            </w:r>
            <w:r w:rsidR="005730E3">
              <w:rPr>
                <w:webHidden/>
              </w:rPr>
              <w:fldChar w:fldCharType="end"/>
            </w:r>
          </w:hyperlink>
        </w:p>
        <w:p w14:paraId="474BB7A7" w14:textId="65A800BC" w:rsidR="005730E3" w:rsidRDefault="00A61CFE">
          <w:pPr>
            <w:pStyle w:val="TOC1"/>
            <w:rPr>
              <w:rFonts w:asciiTheme="minorHAnsi" w:eastAsiaTheme="minorEastAsia" w:hAnsiTheme="minorHAnsi" w:cstheme="minorBidi"/>
              <w:color w:val="auto"/>
              <w:kern w:val="2"/>
              <w:lang w:eastAsia="en-GB"/>
              <w14:ligatures w14:val="standardContextual"/>
            </w:rPr>
          </w:pPr>
          <w:hyperlink w:anchor="_Toc153896230" w:history="1">
            <w:r w:rsidR="005730E3" w:rsidRPr="00432DB6">
              <w:rPr>
                <w:rStyle w:val="Hyperlink"/>
              </w:rPr>
              <w:t>Appendix 2 : Process Flowchart Symbols</w:t>
            </w:r>
            <w:r w:rsidR="005730E3">
              <w:rPr>
                <w:webHidden/>
              </w:rPr>
              <w:tab/>
            </w:r>
            <w:r w:rsidR="005730E3">
              <w:rPr>
                <w:webHidden/>
              </w:rPr>
              <w:fldChar w:fldCharType="begin"/>
            </w:r>
            <w:r w:rsidR="005730E3">
              <w:rPr>
                <w:webHidden/>
              </w:rPr>
              <w:instrText xml:space="preserve"> PAGEREF _Toc153896230 \h </w:instrText>
            </w:r>
            <w:r w:rsidR="005730E3">
              <w:rPr>
                <w:webHidden/>
              </w:rPr>
            </w:r>
            <w:r w:rsidR="005730E3">
              <w:rPr>
                <w:webHidden/>
              </w:rPr>
              <w:fldChar w:fldCharType="separate"/>
            </w:r>
            <w:r>
              <w:rPr>
                <w:webHidden/>
              </w:rPr>
              <w:t>39</w:t>
            </w:r>
            <w:r w:rsidR="005730E3">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153896218"/>
      <w:r w:rsidR="00CB088E">
        <w:rPr>
          <w:b w:val="0"/>
          <w:bCs w:val="0"/>
          <w:color w:val="00436E"/>
        </w:rPr>
        <w:lastRenderedPageBreak/>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SPID;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153896219"/>
      <w:r w:rsidR="00CB088E">
        <w:rPr>
          <w:b w:val="0"/>
          <w:bCs w:val="0"/>
          <w:iCs/>
          <w:color w:val="00436E"/>
        </w:rPr>
        <w:lastRenderedPageBreak/>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153896220"/>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The rules for this confirmation are set out below;</w:t>
      </w:r>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 xml:space="preserve">The Supply Point address (as known to Scottish Water at the time of submitting the T001.0;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5C79408D" w:rsidR="001B60FF" w:rsidRDefault="001B60FF" w:rsidP="001B60FF">
      <w:pPr>
        <w:numPr>
          <w:ilvl w:val="0"/>
          <w:numId w:val="17"/>
        </w:numPr>
        <w:spacing w:before="60" w:line="360" w:lineRule="auto"/>
        <w:jc w:val="both"/>
      </w:pPr>
      <w:r>
        <w:t>The unique SAA Reference Number</w:t>
      </w:r>
      <w:r w:rsidR="000207B0">
        <w:t xml:space="preserve">, </w:t>
      </w:r>
      <w:r w:rsidR="000E611B">
        <w:t xml:space="preserve">which must be unique to a </w:t>
      </w:r>
      <w:r w:rsidR="00C97F7E">
        <w:t xml:space="preserve">single </w:t>
      </w:r>
      <w:r w:rsidR="000E611B">
        <w:t>Supply Point</w:t>
      </w:r>
      <w:r w:rsidR="00C97F7E">
        <w:t xml:space="preserve"> or Supply Point</w:t>
      </w:r>
      <w:r w:rsidR="000E611B">
        <w:t xml:space="preserve"> core</w:t>
      </w:r>
      <w:r w:rsidR="00F45D58" w:rsidRPr="00F45D58">
        <w:t>, along with the SAA Class and SAA Core Description</w:t>
      </w:r>
    </w:p>
    <w:p w14:paraId="0C1E1A1F" w14:textId="1649FEB7" w:rsidR="001B60FF" w:rsidRDefault="00930970"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34AD220B" w:rsidR="001B60FF" w:rsidRDefault="001B60FF" w:rsidP="001B60FF">
      <w:pPr>
        <w:numPr>
          <w:ilvl w:val="0"/>
          <w:numId w:val="17"/>
        </w:numPr>
        <w:spacing w:before="60" w:line="360" w:lineRule="auto"/>
        <w:jc w:val="both"/>
      </w:pPr>
      <w:r>
        <w:t>The UPRN (Unique Property Reference Number)</w:t>
      </w:r>
      <w:r w:rsidR="00716325">
        <w:t>,</w:t>
      </w:r>
      <w:r>
        <w:t xml:space="preserve"> </w:t>
      </w:r>
      <w:r w:rsidR="00716325" w:rsidRPr="0044250C">
        <w:rPr>
          <w:color w:val="auto"/>
        </w:rPr>
        <w:t xml:space="preserve">which may apply to one or more Supply Points or Supply Point cores, </w:t>
      </w:r>
      <w:r w:rsidRPr="0044250C">
        <w:rPr>
          <w:color w:val="auto"/>
        </w:rPr>
        <w:t>as published in the O</w:t>
      </w:r>
      <w:r>
        <w:t xml:space="preserve">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The reason for not providing the UPRN;</w:t>
      </w:r>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w:t>
      </w:r>
      <w:r w:rsidR="00930A5C">
        <w:lastRenderedPageBreak/>
        <w:t xml:space="preserve">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153896221"/>
      <w:r>
        <w:rPr>
          <w:b w:val="0"/>
          <w:bCs w:val="0"/>
          <w:iCs/>
          <w:color w:val="00436E"/>
        </w:rPr>
        <w:lastRenderedPageBreak/>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153896222"/>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38B80134" w:rsidR="005B6333" w:rsidRDefault="005B6333" w:rsidP="00856C85">
      <w:pPr>
        <w:spacing w:before="100" w:beforeAutospacing="1" w:line="360" w:lineRule="auto"/>
        <w:jc w:val="both"/>
      </w:pPr>
      <w:r>
        <w:t xml:space="preserve">Scottish Water will submit the T001.0 (Request New SPID) to the CMA no later than </w:t>
      </w:r>
      <w:r w:rsidR="00062A3A">
        <w:t>19</w:t>
      </w:r>
      <w:r>
        <w:t xml:space="preserve"> Business Days after </w:t>
      </w:r>
      <w:r w:rsidR="00062A3A">
        <w:t>the date of its letter to the Non-Household Customer informing them that they must now</w:t>
      </w:r>
      <w:r w:rsidR="003564BD">
        <w:t xml:space="preserve"> </w:t>
      </w:r>
      <w:r w:rsidR="00062A3A">
        <w:t>choose a Licensed Provider within 15 Business Days or have one allocated to them (comprising 15</w:t>
      </w:r>
      <w:r w:rsidR="003564BD">
        <w:t xml:space="preserve"> </w:t>
      </w:r>
      <w:r w:rsidR="00062A3A">
        <w:t xml:space="preserve">Business Days for the customer to respond, 2 Business Days contingency </w:t>
      </w:r>
      <w:r w:rsidR="00062A3A">
        <w:lastRenderedPageBreak/>
        <w:t>for issues such as postal</w:t>
      </w:r>
      <w:r w:rsidR="003564BD">
        <w:t xml:space="preserve"> </w:t>
      </w:r>
      <w:r w:rsidR="00062A3A">
        <w:t>delays and 2 Business Days for the submission of transactions by Scottish Water)</w:t>
      </w:r>
      <w:r>
        <w:t xml:space="preserve">.  The submission will reflect that the New Supply Point(s) arises from an Entry Change of Use or Gap Site and whether the Supply Point(s) relates to both Water and Sewerage Services, or only one of those Services.  </w:t>
      </w:r>
      <w:r w:rsidR="00856C85">
        <w:t xml:space="preserve">If the Non-Household Customer has informed Scottish Water of the identity of a Licensed Provider who has agreed to supply the </w:t>
      </w:r>
      <w:proofErr w:type="gramStart"/>
      <w:r w:rsidR="00856C85">
        <w:t>Non-Household</w:t>
      </w:r>
      <w:proofErr w:type="gramEnd"/>
      <w:r w:rsidR="00856C85">
        <w:t xml:space="preserve"> Customer then that Licensed Provider shall be identified in the T001.0 request. If not</w:t>
      </w:r>
      <w:r w:rsidR="00EE41B4">
        <w:t xml:space="preserve">, the </w:t>
      </w:r>
      <w:r>
        <w:t xml:space="preserve">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SPID </w:t>
      </w:r>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4DD49735" w:rsidR="005B6333" w:rsidRDefault="005B6333" w:rsidP="005B6333">
      <w:pPr>
        <w:spacing w:before="120" w:line="360" w:lineRule="auto"/>
        <w:jc w:val="both"/>
      </w:pP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153896223"/>
      <w:r w:rsidRPr="006F278C">
        <w:rPr>
          <w:b w:val="0"/>
          <w:bCs w:val="0"/>
          <w:i w:val="0"/>
          <w:iCs w:val="0"/>
          <w:color w:val="244061"/>
        </w:rPr>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7740DA3B" w14:textId="77777777" w:rsidR="00543ED0" w:rsidRDefault="005B6333" w:rsidP="00981DEE">
      <w:pPr>
        <w:keepNext/>
        <w:keepLines/>
        <w:spacing w:line="360" w:lineRule="auto"/>
        <w:jc w:val="both"/>
      </w:pPr>
      <w:r>
        <w:t xml:space="preserve">Once Scottish Water has written to the non-household Customer in accordance with </w:t>
      </w:r>
      <w:r w:rsidR="00981DEE">
        <w:t xml:space="preserve">sub-section 5.4.11 (iii)(a) of the Market Code </w:t>
      </w:r>
      <w:r w:rsidR="007756E7">
        <w:t>(</w:t>
      </w:r>
      <w:r>
        <w:t>the Gap Site Allocation Process</w:t>
      </w:r>
      <w:r w:rsidR="007756E7">
        <w:t>)</w:t>
      </w:r>
    </w:p>
    <w:p w14:paraId="1E255E44" w14:textId="77777777" w:rsidR="00543ED0" w:rsidRDefault="00543ED0" w:rsidP="00981DEE">
      <w:pPr>
        <w:keepNext/>
        <w:keepLines/>
        <w:spacing w:line="360" w:lineRule="auto"/>
        <w:jc w:val="both"/>
      </w:pPr>
    </w:p>
    <w:p w14:paraId="7BABFCF4" w14:textId="290E216F" w:rsidR="00DE796F" w:rsidRDefault="00DE796F" w:rsidP="00981DEE">
      <w:pPr>
        <w:keepNext/>
        <w:keepLines/>
        <w:spacing w:line="360" w:lineRule="auto"/>
        <w:jc w:val="both"/>
      </w:pPr>
      <w:r>
        <w:t>either:</w:t>
      </w:r>
    </w:p>
    <w:p w14:paraId="30E01EFF" w14:textId="77777777" w:rsidR="00DE796F" w:rsidRDefault="00DE796F" w:rsidP="00981DEE">
      <w:pPr>
        <w:keepNext/>
        <w:keepLines/>
        <w:spacing w:line="360" w:lineRule="auto"/>
        <w:jc w:val="both"/>
      </w:pPr>
    </w:p>
    <w:p w14:paraId="21C65154" w14:textId="3D5DFBCC" w:rsidR="00543ED0" w:rsidRDefault="00DE796F" w:rsidP="00306644">
      <w:pPr>
        <w:keepNext/>
        <w:keepLines/>
        <w:spacing w:line="360" w:lineRule="auto"/>
        <w:jc w:val="both"/>
      </w:pPr>
      <w:r>
        <w:t>No</w:t>
      </w:r>
      <w:r w:rsidR="005B6333">
        <w:t xml:space="preserve"> Licensed Provider(s) has been chosen by the Customer, </w:t>
      </w:r>
      <w:r w:rsidR="00C60CC5">
        <w:t xml:space="preserve">and </w:t>
      </w:r>
      <w:r w:rsidR="005B6333">
        <w:t xml:space="preserve">Scottish Water will, within </w:t>
      </w:r>
      <w:r w:rsidR="00C60CC5">
        <w:t xml:space="preserve">19 </w:t>
      </w:r>
      <w:r w:rsidR="005B6333">
        <w:t>Business Days of the date of its letter to the non-household Customer</w:t>
      </w:r>
      <w:r w:rsidR="00306644">
        <w:t xml:space="preserve"> (comprising 15 Business Days for the customer to respond, 2 Business Days contingency for issues such as postal delays and 2 Business Days for the submission of transactions by Scottish Water)</w:t>
      </w:r>
      <w:r w:rsidR="005B6333">
        <w:t>,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w:t>
      </w:r>
    </w:p>
    <w:p w14:paraId="3040034A" w14:textId="77777777" w:rsidR="00543ED0" w:rsidRDefault="00543ED0" w:rsidP="00306644">
      <w:pPr>
        <w:keepNext/>
        <w:keepLines/>
        <w:spacing w:line="360" w:lineRule="auto"/>
        <w:jc w:val="both"/>
      </w:pPr>
    </w:p>
    <w:p w14:paraId="7553A723" w14:textId="383CA6B1" w:rsidR="00543ED0" w:rsidRDefault="00AA2AF6" w:rsidP="00306644">
      <w:pPr>
        <w:keepNext/>
        <w:keepLines/>
        <w:spacing w:line="360" w:lineRule="auto"/>
        <w:jc w:val="both"/>
      </w:pPr>
      <w:r>
        <w:t>or:</w:t>
      </w:r>
    </w:p>
    <w:p w14:paraId="3B39265F" w14:textId="77777777" w:rsidR="00AA2AF6" w:rsidRDefault="00AA2AF6" w:rsidP="00306644">
      <w:pPr>
        <w:keepNext/>
        <w:keepLines/>
        <w:spacing w:line="360" w:lineRule="auto"/>
        <w:jc w:val="both"/>
      </w:pPr>
    </w:p>
    <w:p w14:paraId="502DBB3B" w14:textId="67D8D8A8" w:rsidR="00AA2AF6" w:rsidRDefault="00AA2AF6" w:rsidP="00AA2AF6">
      <w:pPr>
        <w:keepNext/>
        <w:keepLines/>
        <w:spacing w:line="360" w:lineRule="auto"/>
        <w:jc w:val="both"/>
      </w:pPr>
      <w:r>
        <w:t>Scottish Water has been notified that a Licensed Provider(s) has agreed to supply the Non-Household Customer and Scottish Water will, within 19 Business Days of the date of its letter to the Non-Household Customer (comprising 15 Business Days for the customer to respond, 2</w:t>
      </w:r>
    </w:p>
    <w:p w14:paraId="0574ABAA" w14:textId="77777777" w:rsidR="00AA2AF6" w:rsidRDefault="00AA2AF6" w:rsidP="00AA2AF6">
      <w:pPr>
        <w:keepNext/>
        <w:keepLines/>
        <w:spacing w:line="360" w:lineRule="auto"/>
        <w:jc w:val="both"/>
      </w:pPr>
      <w:r>
        <w:t>Business Days contingency for issues such as postal delays and 2 Business Days for the</w:t>
      </w:r>
    </w:p>
    <w:p w14:paraId="65C6AA54" w14:textId="00DD9D13" w:rsidR="00AA2AF6" w:rsidRDefault="00AA2AF6" w:rsidP="00AA2AF6">
      <w:pPr>
        <w:keepNext/>
        <w:keepLines/>
        <w:spacing w:line="360" w:lineRule="auto"/>
        <w:jc w:val="both"/>
      </w:pPr>
      <w:r>
        <w:t>submission of transactions by Scottish Water), submit the T001.0 (Request New SPID) to the CMA.</w:t>
      </w:r>
      <w:r w:rsidR="00C0436B">
        <w:t xml:space="preserve"> </w:t>
      </w:r>
      <w:r>
        <w:t>The submission will reflect that the New Supply Point(s) arises from a Gap Site, whether the Supply</w:t>
      </w:r>
      <w:r w:rsidR="00C0436B">
        <w:t xml:space="preserve"> </w:t>
      </w:r>
      <w:r>
        <w:t>Point(s) relates to both Water and Sewerage Services, or only one of those Services and will</w:t>
      </w:r>
      <w:r w:rsidR="00C0436B">
        <w:t xml:space="preserve"> </w:t>
      </w:r>
      <w:r>
        <w:t>include the identity of the relevant Licensed Provider.</w:t>
      </w:r>
    </w:p>
    <w:p w14:paraId="41995F2D" w14:textId="1DB7D3AB" w:rsidR="005B6333" w:rsidRDefault="005B6333" w:rsidP="00306644">
      <w:pPr>
        <w:keepNext/>
        <w:keepLines/>
        <w:spacing w:line="360" w:lineRule="auto"/>
        <w:jc w:val="both"/>
      </w:pPr>
      <w:r>
        <w:t xml:space="preserve"> </w:t>
      </w:r>
    </w:p>
    <w:p w14:paraId="33E5089B" w14:textId="77777777" w:rsidR="005B6333" w:rsidRDefault="005B6333" w:rsidP="00856E38">
      <w:pPr>
        <w:pStyle w:val="Heading4"/>
      </w:pPr>
      <w:r>
        <w:t>Step c: Create Supply Point(s) and issue SPID(s) to Scottish Water [T002.1]</w:t>
      </w:r>
    </w:p>
    <w:p w14:paraId="1E292AA4" w14:textId="77777777" w:rsidR="00DB0EDD" w:rsidRDefault="00DB0EDD" w:rsidP="00DB0EDD">
      <w:pPr>
        <w:spacing w:line="360" w:lineRule="auto"/>
        <w:jc w:val="both"/>
      </w:pPr>
      <w:r>
        <w:t>If the Non-Household Customer informed Scottish Water within the timeframe set out in Section</w:t>
      </w:r>
    </w:p>
    <w:p w14:paraId="7487F22E" w14:textId="52FF42B8" w:rsidR="005B6333" w:rsidRDefault="00DB0EDD" w:rsidP="00DB0EDD">
      <w:pPr>
        <w:spacing w:line="360" w:lineRule="auto"/>
        <w:jc w:val="both"/>
      </w:pPr>
      <w:r>
        <w:t>5.4.11 (iii) of the Market Code that a Licensed Provider had agreed to supply the Non-Household Customer</w:t>
      </w:r>
      <w:r w:rsidR="008A628F">
        <w:t>,</w:t>
      </w:r>
      <w:r>
        <w:t xml:space="preserve"> </w:t>
      </w:r>
      <w:r w:rsidR="008A628F">
        <w:t xml:space="preserve">the </w:t>
      </w:r>
      <w:r w:rsidR="005B6333">
        <w:t xml:space="preserve">CMA will create the Supply Point(s) and notify Scottish Water within </w:t>
      </w:r>
      <w:r w:rsidR="005B6333">
        <w:lastRenderedPageBreak/>
        <w:t xml:space="preserve">1 Business Day </w:t>
      </w:r>
      <w:r w:rsidR="005B6333">
        <w:rPr>
          <w:bCs/>
        </w:rPr>
        <w:t xml:space="preserve">of allocating the Supply Point(s) to </w:t>
      </w:r>
      <w:r w:rsidR="000D15C1">
        <w:rPr>
          <w:bCs/>
        </w:rPr>
        <w:t>the</w:t>
      </w:r>
      <w:r w:rsidR="005B6333">
        <w:rPr>
          <w:bCs/>
        </w:rPr>
        <w:t xml:space="preserve"> Licensed Provider(s) </w:t>
      </w:r>
      <w:r w:rsidR="000D15C1">
        <w:rPr>
          <w:bCs/>
        </w:rPr>
        <w:t>identified by the Non-Househ</w:t>
      </w:r>
      <w:r w:rsidR="00EF4E63">
        <w:rPr>
          <w:bCs/>
        </w:rPr>
        <w:t xml:space="preserve">old Customer </w:t>
      </w:r>
      <w:r w:rsidR="005B6333">
        <w:rPr>
          <w:bCs/>
        </w:rPr>
        <w:t>(see step c, using</w:t>
      </w:r>
      <w:r w:rsidR="005B6333">
        <w:t xml:space="preserve"> Data Transaction T002.1 (Notify New SPID</w:t>
      </w:r>
      <w:r w:rsidR="00EA59FA">
        <w:t xml:space="preserve"> (SW)</w:t>
      </w:r>
      <w:r w:rsidR="005B6333">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01C5B04F" w:rsidR="005B6333" w:rsidRDefault="00BB24DE" w:rsidP="00BB24DE">
      <w:pPr>
        <w:spacing w:before="120" w:line="360" w:lineRule="auto"/>
        <w:jc w:val="both"/>
        <w:rPr>
          <w:color w:val="auto"/>
        </w:rPr>
      </w:pPr>
      <w:r w:rsidRPr="00BB24DE">
        <w:rPr>
          <w:color w:val="auto"/>
        </w:rPr>
        <w:t>If the Non-Household Customer did not inform Scottish Water within the timeframe set out in</w:t>
      </w:r>
      <w:r>
        <w:rPr>
          <w:color w:val="auto"/>
        </w:rPr>
        <w:t xml:space="preserve"> </w:t>
      </w:r>
      <w:r w:rsidRPr="00BB24DE">
        <w:rPr>
          <w:color w:val="auto"/>
        </w:rPr>
        <w:t>Section 5.4.11 (iii) of the Market Code that a Licensed Provider has agreed to supply the Non</w:t>
      </w:r>
      <w:r w:rsidR="0025147D">
        <w:rPr>
          <w:color w:val="auto"/>
        </w:rPr>
        <w:t>-</w:t>
      </w:r>
      <w:r w:rsidRPr="00BB24DE">
        <w:rPr>
          <w:color w:val="auto"/>
        </w:rPr>
        <w:t xml:space="preserve">Household Customer, </w:t>
      </w:r>
      <w:r w:rsidR="0025147D">
        <w:rPr>
          <w:color w:val="auto"/>
        </w:rPr>
        <w:t>the</w:t>
      </w:r>
      <w:r w:rsidR="005B6333">
        <w:rPr>
          <w:color w:val="auto"/>
        </w:rPr>
        <w:t xml:space="preserve"> CMA will allocate the Supply Point(s) to a Licensed Provider(s) in accordance with the </w:t>
      </w:r>
      <w:r w:rsidR="005B6333">
        <w:t xml:space="preserve">Gap Site </w:t>
      </w:r>
      <w:r w:rsidR="005B6333">
        <w:rPr>
          <w:color w:val="auto"/>
        </w:rPr>
        <w:t>Allocation Process</w:t>
      </w:r>
      <w:r w:rsidR="005B6333">
        <w:rPr>
          <w:b/>
          <w:color w:val="auto"/>
        </w:rPr>
        <w:t>.</w:t>
      </w:r>
    </w:p>
    <w:p w14:paraId="1E42F98A" w14:textId="6A63A304" w:rsidR="005B6333" w:rsidRDefault="005B6333" w:rsidP="005B6333">
      <w:pPr>
        <w:spacing w:before="120" w:line="360" w:lineRule="auto"/>
        <w:jc w:val="both"/>
      </w:pPr>
      <w:r>
        <w:t xml:space="preserve">The CMA will notify the Licensed Provider(s) of </w:t>
      </w:r>
      <w:r w:rsidR="006C6949">
        <w:t xml:space="preserve">any </w:t>
      </w:r>
      <w:r>
        <w:t xml:space="preserve">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1AFA8C59" w14:textId="77777777" w:rsidR="006C6949" w:rsidRDefault="006C6949" w:rsidP="005B6333">
      <w:pPr>
        <w:spacing w:before="120" w:line="360" w:lineRule="auto"/>
        <w:jc w:val="both"/>
      </w:pP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F8622FD" w:rsidR="0056711C" w:rsidRPr="00B6467A" w:rsidRDefault="0056711C" w:rsidP="000072A3">
      <w:pPr>
        <w:spacing w:before="120" w:line="360" w:lineRule="auto"/>
        <w:jc w:val="both"/>
        <w:rPr>
          <w:color w:val="auto"/>
        </w:rPr>
      </w:pPr>
      <w:r w:rsidRPr="00B6467A">
        <w:rPr>
          <w:color w:val="auto"/>
        </w:rPr>
        <w:t xml:space="preserve">Scottish Water shall send to the </w:t>
      </w:r>
      <w:r w:rsidR="000072A3" w:rsidRPr="000072A3">
        <w:rPr>
          <w:color w:val="auto"/>
        </w:rPr>
        <w:t>Licensed Provider identified by the Non-Household Customer or,</w:t>
      </w:r>
      <w:r w:rsidR="000072A3">
        <w:rPr>
          <w:color w:val="auto"/>
        </w:rPr>
        <w:t xml:space="preserve"> </w:t>
      </w:r>
      <w:r w:rsidR="000072A3" w:rsidRPr="000072A3">
        <w:rPr>
          <w:color w:val="auto"/>
        </w:rPr>
        <w:t xml:space="preserve">as the case may be, the </w:t>
      </w:r>
      <w:r w:rsidRPr="00B6467A">
        <w:rPr>
          <w:color w:val="auto"/>
        </w:rPr>
        <w:t>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432515">
        <w:rPr>
          <w:color w:val="auto"/>
        </w:rPr>
        <w:t xml:space="preserve"> </w:t>
      </w:r>
      <w:r w:rsidR="00432515">
        <w:t>under Section 5.4.11 (iii) of the Market Code</w:t>
      </w:r>
      <w:r w:rsidR="00FE798D">
        <w:rPr>
          <w:color w:val="auto"/>
        </w:rPr>
        <w:t>.</w:t>
      </w:r>
      <w:r w:rsidRPr="00B6467A">
        <w:rPr>
          <w:color w:val="auto"/>
        </w:rPr>
        <w:t xml:space="preserve"> </w:t>
      </w: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153896224"/>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lastRenderedPageBreak/>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w:t>
      </w:r>
      <w:r w:rsidRPr="007B403B">
        <w:rPr>
          <w:rFonts w:eastAsia="Calibri" w:cs="Times New Roman"/>
          <w:color w:val="auto"/>
          <w:szCs w:val="22"/>
          <w:lang w:eastAsia="en-US"/>
        </w:rPr>
        <w:lastRenderedPageBreak/>
        <w:t>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rsidRPr="007B403B">
        <w:rPr>
          <w:rFonts w:eastAsia="Calibri" w:cs="Times New Roman"/>
          <w:color w:val="auto"/>
          <w:szCs w:val="22"/>
          <w:lang w:eastAsia="en-US"/>
        </w:rPr>
        <w:t>this</w:t>
      </w:r>
      <w:proofErr w:type="gramEnd"/>
      <w:r w:rsidRPr="007B403B">
        <w:rPr>
          <w:rFonts w:eastAsia="Calibri" w:cs="Times New Roman"/>
          <w:color w:val="auto"/>
          <w:szCs w:val="22"/>
          <w:lang w:eastAsia="en-US"/>
        </w:rPr>
        <w:t xml:space="preserve">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153896225"/>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153896226"/>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Troughs and Drinking Bowls;</w:t>
      </w:r>
    </w:p>
    <w:p w14:paraId="31DB5D59" w14:textId="77777777" w:rsidR="00B85E3A" w:rsidRDefault="00B85E3A" w:rsidP="00B85E3A">
      <w:pPr>
        <w:numPr>
          <w:ilvl w:val="0"/>
          <w:numId w:val="33"/>
        </w:numPr>
        <w:spacing w:line="360" w:lineRule="auto"/>
        <w:jc w:val="both"/>
      </w:pPr>
      <w:r>
        <w:t>Outside Taps;</w:t>
      </w:r>
    </w:p>
    <w:p w14:paraId="4798F679" w14:textId="77777777" w:rsidR="00B85E3A" w:rsidRDefault="00B85E3A" w:rsidP="00B85E3A">
      <w:pPr>
        <w:numPr>
          <w:ilvl w:val="0"/>
          <w:numId w:val="33"/>
        </w:numPr>
        <w:spacing w:line="360" w:lineRule="auto"/>
        <w:jc w:val="both"/>
      </w:pPr>
      <w:r>
        <w:t>Farm or Croft;</w:t>
      </w:r>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 xml:space="preserve">under section 29E of the 2002 Act for a </w:t>
      </w:r>
      <w:r>
        <w:lastRenderedPageBreak/>
        <w:t>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non-zero Live Rateable Value has been assigned, then the appropriate Live Rateable Value;</w:t>
      </w:r>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alue of £0.10;</w:t>
      </w:r>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£999.90;</w:t>
      </w:r>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£9,999.90;</w:t>
      </w:r>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 xml:space="preserve">£19,999.90;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w:t>
      </w:r>
      <w:r w:rsidRPr="00510AB6">
        <w:rPr>
          <w:rFonts w:eastAsia="Calibri" w:cs="Times New Roman"/>
          <w:color w:val="auto"/>
          <w:szCs w:val="22"/>
          <w:lang w:eastAsia="en-US"/>
        </w:rPr>
        <w:lastRenderedPageBreak/>
        <w:t xml:space="preserve">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lastRenderedPageBreak/>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proofErr w:type="spellStart"/>
      <w:r>
        <w:rPr>
          <w:rFonts w:ascii="Arial" w:hAnsi="Arial" w:cs="Arial"/>
        </w:rPr>
        <w:t>Unmeasureable</w:t>
      </w:r>
      <w:proofErr w:type="spellEnd"/>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Step g3: Licensed Provider Submits YVe [T004.2]</w:t>
      </w:r>
    </w:p>
    <w:p w14:paraId="61498EE7" w14:textId="76D4ACB2" w:rsidR="009B0B8D" w:rsidRDefault="00FD4555" w:rsidP="007E1425">
      <w:pPr>
        <w:spacing w:line="360" w:lineRule="auto"/>
        <w:jc w:val="both"/>
      </w:pPr>
      <w:r>
        <w:t>Following the notification of a meter, the Water Services Licensed Provider may submit the YVe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w:t>
      </w:r>
      <w:r w:rsidR="00044AAF">
        <w:lastRenderedPageBreak/>
        <w:t>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2B1F217A" w14:textId="77777777" w:rsidR="007220A9" w:rsidRDefault="007220A9" w:rsidP="009D5BA1">
      <w:pPr>
        <w:spacing w:before="120" w:line="360" w:lineRule="auto"/>
        <w:jc w:val="both"/>
      </w:pPr>
    </w:p>
    <w:p w14:paraId="62D139DF" w14:textId="77777777" w:rsidR="00CD6B76" w:rsidRDefault="00CD6B76" w:rsidP="00CD6B76">
      <w:pPr>
        <w:pStyle w:val="Heading4"/>
        <w:spacing w:before="100"/>
        <w:rPr>
          <w:lang w:val="en-GB"/>
        </w:rPr>
      </w:pPr>
      <w:r>
        <w:rPr>
          <w:lang w:val="en-GB"/>
        </w:rPr>
        <w:t>Step j2: Notify Scottish Water [T006.8]</w:t>
      </w:r>
    </w:p>
    <w:p w14:paraId="0FA6053E" w14:textId="77777777" w:rsidR="00CD6B76" w:rsidRPr="006C4B9F" w:rsidRDefault="00CD6B76" w:rsidP="006C4B9F">
      <w:pPr>
        <w:spacing w:before="120" w:line="360" w:lineRule="auto"/>
        <w:rPr>
          <w:rFonts w:cs="Times New Roman"/>
          <w:color w:val="auto"/>
          <w:lang w:eastAsia="en-US"/>
        </w:rPr>
      </w:pPr>
      <w:r w:rsidRPr="006C4B9F">
        <w:rPr>
          <w:rFonts w:cs="Times New Roman"/>
          <w:color w:val="auto"/>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lastRenderedPageBreak/>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proofErr w:type="gramStart"/>
      <w:r w:rsidR="00EA61EC">
        <w:t>Customer</w:t>
      </w:r>
      <w:proofErr w:type="gramEnd"/>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I</w:t>
      </w:r>
      <w:r>
        <w:rPr>
          <w:lang w:eastAsia="en-US"/>
        </w:rPr>
        <w:t>n the event that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 xml:space="preserve">Following the loading of a </w:t>
      </w:r>
      <w:proofErr w:type="gramStart"/>
      <w:r>
        <w:t>Customer</w:t>
      </w:r>
      <w:proofErr w:type="gramEnd"/>
      <w:r>
        <w:t xml:space="preserve">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 xml:space="preserve">In the event that only Sewerage Services are provided at the Supply </w:t>
      </w:r>
      <w:proofErr w:type="gramStart"/>
      <w:r>
        <w:t>Point</w:t>
      </w:r>
      <w:proofErr w:type="gramEnd"/>
      <w:r w:rsidR="007A761D">
        <w:t xml:space="preserve"> or the associated Water Services Supply Point has already been made </w:t>
      </w:r>
      <w:r w:rsidR="00821930">
        <w:t>Tradeable</w:t>
      </w:r>
      <w:r>
        <w:t xml:space="preserve">, then for the Sewerage </w:t>
      </w:r>
      <w:r>
        <w:lastRenderedPageBreak/>
        <w:t xml:space="preserve">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 xml:space="preserve">he Supply </w:t>
      </w:r>
      <w:proofErr w:type="gramStart"/>
      <w:r w:rsidR="007667CE">
        <w:t>Point</w:t>
      </w:r>
      <w:proofErr w:type="gramEnd"/>
      <w:r w:rsidR="007667CE">
        <w:t xml:space="preserve">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w:t>
      </w:r>
      <w:proofErr w:type="gramStart"/>
      <w:r>
        <w:t>Point</w:t>
      </w:r>
      <w:proofErr w:type="gramEnd"/>
      <w:r>
        <w:t xml:space="preserve">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lastRenderedPageBreak/>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w:t>
      </w:r>
      <w:proofErr w:type="gramStart"/>
      <w:r w:rsidR="00CB088E">
        <w:t>complete</w:t>
      </w:r>
      <w:proofErr w:type="gramEnd"/>
      <w:r w:rsidR="00CB088E">
        <w:t xml:space="preserv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proofErr w:type="spellStart"/>
      <w:r w:rsidR="00821930">
        <w:t>Tradeab</w:t>
      </w:r>
      <w:r w:rsidR="001D2339">
        <w:t>ility</w:t>
      </w:r>
      <w:proofErr w:type="spellEnd"/>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lastRenderedPageBreak/>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153896227"/>
      <w:r>
        <w:rPr>
          <w:b w:val="0"/>
          <w:bCs w:val="0"/>
          <w:i w:val="0"/>
          <w:iCs w:val="0"/>
          <w:color w:val="00436E"/>
        </w:rPr>
        <w:lastRenderedPageBreak/>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120117F0" w:rsidR="00525EF1" w:rsidRPr="00701BFA" w:rsidRDefault="00DC5468" w:rsidP="00CB088E">
      <w:pPr>
        <w:spacing w:line="360" w:lineRule="auto"/>
      </w:pPr>
      <w:r>
        <w:object w:dxaOrig="8925" w:dyaOrig="13214"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16.3pt" o:ole="">
            <v:imagedata r:id="rId13" o:title=""/>
          </v:shape>
          <o:OLEObject Type="Embed" ProgID="Visio.Drawing.11" ShapeID="_x0000_i1025" DrawAspect="Content" ObjectID="_1772439107" r:id="rId14"/>
        </w:object>
      </w:r>
    </w:p>
    <w:p w14:paraId="614AC1E3" w14:textId="528F6F01" w:rsidR="00525EF1" w:rsidRDefault="00525EF1" w:rsidP="00CB088E">
      <w:pPr>
        <w:spacing w:line="360" w:lineRule="auto"/>
      </w:pPr>
      <w:r>
        <w:br w:type="page"/>
      </w:r>
      <w:r w:rsidR="00F37ED3">
        <w:object w:dxaOrig="8925" w:dyaOrig="13814" w14:anchorId="5517681E">
          <v:shape id="_x0000_i1026" type="#_x0000_t75" style="width:414.25pt;height:643.7pt" o:ole="">
            <v:imagedata r:id="rId15" o:title=""/>
          </v:shape>
          <o:OLEObject Type="Embed" ProgID="Visio.Drawing.11" ShapeID="_x0000_i1026" DrawAspect="Content" ObjectID="_1772439108" r:id="rId16"/>
        </w:object>
      </w:r>
    </w:p>
    <w:p w14:paraId="0BFD050C" w14:textId="01300583" w:rsidR="00525EF1" w:rsidRDefault="00525EF1" w:rsidP="00CB088E">
      <w:pPr>
        <w:spacing w:line="360" w:lineRule="auto"/>
        <w:sectPr w:rsidR="00525EF1" w:rsidSect="00EF45AD">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7E3B63">
        <w:object w:dxaOrig="8925" w:dyaOrig="13814" w14:anchorId="7E021C77">
          <v:shape id="_x0000_i1027" type="#_x0000_t75" style="width:414.8pt;height:643.7pt" o:ole="">
            <v:imagedata r:id="rId20" o:title=""/>
          </v:shape>
          <o:OLEObject Type="Embed" ProgID="Visio.Drawing.11" ShapeID="_x0000_i1027" DrawAspect="Content" ObjectID="_1772439109" r:id="rId21"/>
        </w:object>
      </w:r>
      <w:r>
        <w:t xml:space="preserve"> </w:t>
      </w:r>
    </w:p>
    <w:p w14:paraId="04B76033" w14:textId="77777777" w:rsidR="00A40821" w:rsidRDefault="00A61CFE" w:rsidP="00CB088E">
      <w:pPr>
        <w:spacing w:line="360" w:lineRule="auto"/>
        <w:rPr>
          <w:sz w:val="28"/>
          <w:szCs w:val="28"/>
        </w:rPr>
        <w:sectPr w:rsidR="00A40821" w:rsidSect="00EF45AD">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2351" type="#_x0000_t75" style="position:absolute;margin-left:53.95pt;margin-top:0;width:595.8pt;height:448.35pt;z-index:251658240">
            <v:imagedata r:id="rId22" o:title=""/>
            <w10:wrap type="square"/>
          </v:shape>
          <o:OLEObject Type="Embed" ProgID="Visio.Drawing.11" ShapeID="_x0000_s2351" DrawAspect="Content" ObjectID="_1772439128" r:id="rId23"/>
        </w:object>
      </w:r>
    </w:p>
    <w:p w14:paraId="09F238E8" w14:textId="77777777" w:rsidR="00CB088E" w:rsidRDefault="00A40821" w:rsidP="00CB088E">
      <w:pPr>
        <w:spacing w:line="360" w:lineRule="auto"/>
        <w:rPr>
          <w:sz w:val="28"/>
          <w:szCs w:val="28"/>
        </w:rPr>
        <w:sectPr w:rsidR="00CB088E" w:rsidSect="00EF45AD">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4pt;height:602.35pt" o:ole="">
            <v:imagedata r:id="rId24" o:title=""/>
          </v:shape>
          <o:OLEObject Type="Embed" ProgID="Visio.Drawing.11" ShapeID="_x0000_i1029" DrawAspect="Content" ObjectID="_1772439110"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153896228"/>
      <w:bookmarkStart w:id="59" w:name="_Toc325010924"/>
      <w:r>
        <w:rPr>
          <w:b w:val="0"/>
          <w:bCs w:val="0"/>
          <w:i w:val="0"/>
          <w:iCs w:val="0"/>
          <w:color w:val="00436E"/>
        </w:rPr>
        <w:lastRenderedPageBreak/>
        <w:t>Interface and Timetable Requirements</w:t>
      </w:r>
      <w:bookmarkEnd w:id="54"/>
      <w:bookmarkEnd w:id="55"/>
      <w:bookmarkEnd w:id="56"/>
      <w:bookmarkEnd w:id="57"/>
      <w:bookmarkEnd w:id="58"/>
      <w:r>
        <w:rPr>
          <w:b w:val="0"/>
          <w:bCs w:val="0"/>
          <w:i w:val="0"/>
          <w:iCs w:val="0"/>
          <w:color w:val="00436E"/>
        </w:rPr>
        <w:t xml:space="preserve">  </w:t>
      </w:r>
      <w:bookmarkEnd w:id="59"/>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04D07D96" w:rsidR="007F4A1C" w:rsidRDefault="00203A61" w:rsidP="00CB088E">
            <w:pPr>
              <w:rPr>
                <w:sz w:val="18"/>
                <w:szCs w:val="18"/>
              </w:rPr>
            </w:pPr>
            <w:r>
              <w:rPr>
                <w:sz w:val="18"/>
                <w:szCs w:val="18"/>
              </w:rPr>
              <w:t>within 19 BDs of the date of its letter to non-household customer</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lastRenderedPageBreak/>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14738F2F" w:rsidR="007F4A1C" w:rsidRDefault="007F4A1C" w:rsidP="007F4A1C">
            <w:pPr>
              <w:rPr>
                <w:sz w:val="18"/>
                <w:szCs w:val="18"/>
              </w:rPr>
            </w:pPr>
            <w:r>
              <w:rPr>
                <w:sz w:val="18"/>
                <w:szCs w:val="18"/>
              </w:rPr>
              <w:t xml:space="preserve">within </w:t>
            </w:r>
            <w:r w:rsidR="00203A61">
              <w:rPr>
                <w:sz w:val="18"/>
                <w:szCs w:val="18"/>
              </w:rPr>
              <w:t xml:space="preserve">19 BDs </w:t>
            </w:r>
            <w:r>
              <w:rPr>
                <w:sz w:val="18"/>
                <w:szCs w:val="18"/>
              </w:rPr>
              <w:t>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lastRenderedPageBreak/>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(Optional) provision of YVe</w:t>
            </w:r>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F45AD">
          <w:pgSz w:w="16840" w:h="11907" w:orient="landscape" w:code="9"/>
          <w:pgMar w:top="1440" w:right="1797" w:bottom="-1588" w:left="1797" w:header="709" w:footer="737" w:gutter="0"/>
          <w:pgBorders>
            <w:bottom w:val="single" w:sz="4" w:space="10" w:color="auto"/>
          </w:pgBorders>
          <w:cols w:space="708"/>
          <w:docGrid w:linePitch="360"/>
        </w:sectPr>
      </w:pPr>
    </w:p>
    <w:p w14:paraId="64D3F8F6" w14:textId="43F15307" w:rsidR="008A3C08" w:rsidRDefault="008A3C08">
      <w:pPr>
        <w:rPr>
          <w:rFonts w:cs="Times New Roman"/>
          <w:bCs/>
          <w:color w:val="00436E"/>
          <w:kern w:val="32"/>
          <w:sz w:val="32"/>
          <w:szCs w:val="32"/>
        </w:rPr>
      </w:pPr>
      <w:bookmarkStart w:id="60" w:name="_Toc325035666"/>
      <w:bookmarkStart w:id="61" w:name="_Toc325035669"/>
      <w:bookmarkStart w:id="62" w:name="_Toc325010931"/>
      <w:bookmarkStart w:id="63" w:name="_Toc325035671"/>
      <w:bookmarkStart w:id="64" w:name="_Toc31184286"/>
      <w:bookmarkEnd w:id="60"/>
      <w:bookmarkEnd w:id="61"/>
    </w:p>
    <w:p w14:paraId="237896D0" w14:textId="0A4DC6E5"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5" w:name="_Toc153896229"/>
      <w:r>
        <w:rPr>
          <w:b w:val="0"/>
          <w:color w:val="00436E"/>
        </w:rPr>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r>
        <w:t xml:space="preserve">A number of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15pt;height:44.6pt" o:ole="">
                  <v:imagedata r:id="rId26" o:title=""/>
                </v:shape>
                <o:OLEObject Type="Embed" ProgID="Visio.Drawing.11" ShapeID="_x0000_i1030" DrawAspect="Content" ObjectID="_1772439111"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15pt;height:44.6pt" o:ole="">
                  <v:imagedata r:id="rId28" o:title=""/>
                </v:shape>
                <o:OLEObject Type="Embed" ProgID="Visio.Drawing.11" ShapeID="_x0000_i1031" DrawAspect="Content" ObjectID="_1772439112"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15pt;height:44.6pt" o:ole="">
                  <v:imagedata r:id="rId30" o:title=""/>
                </v:shape>
                <o:OLEObject Type="Embed" ProgID="Visio.Drawing.11" ShapeID="_x0000_i1032" DrawAspect="Content" ObjectID="_1772439113"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15pt;height:44.6pt" o:ole="">
                  <v:imagedata r:id="rId32" o:title=""/>
                </v:shape>
                <o:OLEObject Type="Embed" ProgID="Visio.Drawing.11" ShapeID="_x0000_i1033" DrawAspect="Content" ObjectID="_1772439114"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15pt;height:44.6pt" o:ole="">
                  <v:imagedata r:id="rId32" o:title=""/>
                </v:shape>
                <o:OLEObject Type="Embed" ProgID="Visio.Drawing.11" ShapeID="_x0000_i1034" DrawAspect="Content" ObjectID="_1772439115"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proofErr w:type="spellStart"/>
            <w:r>
              <w:t>Unmeasureable</w:t>
            </w:r>
            <w:proofErr w:type="spellEnd"/>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15pt;height:44.6pt" o:ole="">
                  <v:imagedata r:id="rId35" o:title=""/>
                </v:shape>
                <o:OLEObject Type="Embed" ProgID="Visio.Drawing.11" ShapeID="_x0000_i1035" DrawAspect="Content" ObjectID="_1772439116"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r>
              <w:t xml:space="preserve">Submit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15pt;height:44.6pt" o:ole="">
                  <v:imagedata r:id="rId37" o:title=""/>
                </v:shape>
                <o:OLEObject Type="Embed" ProgID="Visio.Drawing.11" ShapeID="_x0000_i1036" DrawAspect="Content" ObjectID="_1772439117"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15pt;height:44.6pt" o:ole="">
                  <v:imagedata r:id="rId39" o:title=""/>
                </v:shape>
                <o:OLEObject Type="Embed" ProgID="Visio.Drawing.11" ShapeID="_x0000_i1037" DrawAspect="Content" ObjectID="_1772439118"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4pt;height:47.3pt" o:ole="">
                  <v:imagedata r:id="rId41" o:title=""/>
                </v:shape>
                <o:OLEObject Type="Embed" ProgID="Visio.Drawing.11" ShapeID="_x0000_i1038" DrawAspect="Content" ObjectID="_1772439119"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Check that a Partial Registration has been received for the SPID;</w:t>
            </w:r>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submitted</w:t>
            </w:r>
            <w:r w:rsidR="0056161A">
              <w:t>;</w:t>
            </w:r>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F45AD">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153896230"/>
      <w:r>
        <w:rPr>
          <w:b w:val="0"/>
          <w:color w:val="00436E"/>
        </w:rPr>
        <w:lastRenderedPageBreak/>
        <w:t xml:space="preserve">Appendix 2 </w:t>
      </w:r>
      <w:r w:rsidR="00BC1F0E">
        <w:rPr>
          <w:b w:val="0"/>
          <w:color w:val="00436E"/>
        </w:rPr>
        <w:t>:</w:t>
      </w:r>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55pt;height:71.45pt" o:ole="">
                  <v:imagedata r:id="rId44" o:title=""/>
                </v:shape>
                <o:OLEObject Type="Embed" ProgID="Visio.Drawing.11" ShapeID="_x0000_i1039" DrawAspect="Content" ObjectID="_1772439120"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w:t>
            </w:r>
            <w:proofErr w:type="spellStart"/>
            <w:r>
              <w:t>swimlane</w:t>
            </w:r>
            <w:proofErr w:type="spellEnd"/>
            <w:r>
              <w:t>”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5pt;height:55.9pt" o:ole="">
                  <v:imagedata r:id="rId46" o:title=""/>
                </v:shape>
                <o:OLEObject Type="Embed" ProgID="Visio.Drawing.11" ShapeID="_x0000_i1040" DrawAspect="Content" ObjectID="_1772439121"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15pt;height:41.35pt" o:ole="">
                  <v:imagedata r:id="rId48" o:title=""/>
                </v:shape>
                <o:OLEObject Type="Embed" ProgID="Visio.Drawing.11" ShapeID="_x0000_i1041" DrawAspect="Content" ObjectID="_1772439122"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5pt;height:43.5pt" o:ole="">
                  <v:imagedata r:id="rId50" o:title=""/>
                </v:shape>
                <o:OLEObject Type="Embed" ProgID="Visio.Drawing.11" ShapeID="_x0000_i1042" DrawAspect="Content" ObjectID="_1772439123"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1pt;height:52.1pt" o:ole="">
                  <v:imagedata r:id="rId52" o:title=""/>
                </v:shape>
                <o:OLEObject Type="Embed" ProgID="Visio.Drawing.11" ShapeID="_x0000_i1043" DrawAspect="Content" ObjectID="_1772439124"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1.35pt;height:40.3pt" o:ole="">
                  <v:imagedata r:id="rId54" o:title=""/>
                </v:shape>
                <o:OLEObject Type="Embed" ProgID="Visio.Drawing.11" ShapeID="_x0000_i1044" DrawAspect="Content" ObjectID="_1772439125"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1.35pt;height:40.3pt" o:ole="">
                  <v:imagedata r:id="rId56" o:title=""/>
                </v:shape>
                <o:OLEObject Type="Embed" ProgID="Visio.Drawing.11" ShapeID="_x0000_i1045" DrawAspect="Content" ObjectID="_1772439126" r:id="rId57"/>
              </w:object>
            </w:r>
            <w:r>
              <w:t xml:space="preserve"> </w:t>
            </w:r>
            <w:r>
              <w:object w:dxaOrig="811" w:dyaOrig="783" w14:anchorId="794CEA70">
                <v:shape id="_x0000_i1046" type="#_x0000_t75" style="width:41.35pt;height:40.3pt" o:ole="">
                  <v:imagedata r:id="rId58" o:title=""/>
                </v:shape>
                <o:OLEObject Type="Embed" ProgID="Visio.Drawing.11" ShapeID="_x0000_i1046" DrawAspect="Content" ObjectID="_1772439127"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EF45AD">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DC2BE" w14:textId="77777777" w:rsidR="00EF45AD" w:rsidRDefault="00EF45AD">
      <w:r>
        <w:separator/>
      </w:r>
    </w:p>
  </w:endnote>
  <w:endnote w:type="continuationSeparator" w:id="0">
    <w:p w14:paraId="5FF42D10" w14:textId="77777777" w:rsidR="00EF45AD" w:rsidRDefault="00EF45AD">
      <w:r>
        <w:continuationSeparator/>
      </w:r>
    </w:p>
  </w:endnote>
  <w:endnote w:type="continuationNotice" w:id="1">
    <w:p w14:paraId="64C8B002" w14:textId="77777777" w:rsidR="00EF45AD" w:rsidRDefault="00EF4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07F441B0"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4C645A">
      <w:rPr>
        <w:rFonts w:ascii="Calibri" w:hAnsi="Calibri"/>
        <w:sz w:val="18"/>
        <w:szCs w:val="18"/>
      </w:rPr>
      <w:t>20</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8FC09" w14:textId="77777777" w:rsidR="00EF45AD" w:rsidRDefault="00EF45AD">
      <w:r>
        <w:separator/>
      </w:r>
    </w:p>
  </w:footnote>
  <w:footnote w:type="continuationSeparator" w:id="0">
    <w:p w14:paraId="4F402DE2" w14:textId="77777777" w:rsidR="00EF45AD" w:rsidRDefault="00EF45AD">
      <w:r>
        <w:continuationSeparator/>
      </w:r>
    </w:p>
  </w:footnote>
  <w:footnote w:type="continuationNotice" w:id="1">
    <w:p w14:paraId="19684E49" w14:textId="77777777" w:rsidR="00EF45AD" w:rsidRDefault="00EF45AD"/>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9054674">
    <w:abstractNumId w:val="28"/>
  </w:num>
  <w:num w:numId="2" w16cid:durableId="2128424638">
    <w:abstractNumId w:val="1"/>
  </w:num>
  <w:num w:numId="3" w16cid:durableId="1156919968">
    <w:abstractNumId w:val="0"/>
  </w:num>
  <w:num w:numId="4" w16cid:durableId="1779639660">
    <w:abstractNumId w:val="16"/>
  </w:num>
  <w:num w:numId="5" w16cid:durableId="1721979930">
    <w:abstractNumId w:val="10"/>
  </w:num>
  <w:num w:numId="6" w16cid:durableId="1088885406">
    <w:abstractNumId w:val="29"/>
  </w:num>
  <w:num w:numId="7" w16cid:durableId="688988140">
    <w:abstractNumId w:val="23"/>
  </w:num>
  <w:num w:numId="8" w16cid:durableId="309403836">
    <w:abstractNumId w:val="18"/>
  </w:num>
  <w:num w:numId="9" w16cid:durableId="1616794250">
    <w:abstractNumId w:val="2"/>
  </w:num>
  <w:num w:numId="10" w16cid:durableId="2084332607">
    <w:abstractNumId w:val="27"/>
  </w:num>
  <w:num w:numId="11" w16cid:durableId="860629218">
    <w:abstractNumId w:val="7"/>
  </w:num>
  <w:num w:numId="12" w16cid:durableId="2076272183">
    <w:abstractNumId w:val="11"/>
  </w:num>
  <w:num w:numId="13" w16cid:durableId="692615750">
    <w:abstractNumId w:val="19"/>
  </w:num>
  <w:num w:numId="14" w16cid:durableId="1354961774">
    <w:abstractNumId w:val="31"/>
  </w:num>
  <w:num w:numId="15" w16cid:durableId="1334843228">
    <w:abstractNumId w:val="26"/>
  </w:num>
  <w:num w:numId="16" w16cid:durableId="15348560">
    <w:abstractNumId w:val="13"/>
  </w:num>
  <w:num w:numId="17" w16cid:durableId="825243422">
    <w:abstractNumId w:val="14"/>
  </w:num>
  <w:num w:numId="18" w16cid:durableId="1595481202">
    <w:abstractNumId w:val="25"/>
  </w:num>
  <w:num w:numId="19" w16cid:durableId="642780627">
    <w:abstractNumId w:val="28"/>
  </w:num>
  <w:num w:numId="20" w16cid:durableId="4806536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313184">
    <w:abstractNumId w:val="20"/>
  </w:num>
  <w:num w:numId="22" w16cid:durableId="837310785">
    <w:abstractNumId w:val="8"/>
  </w:num>
  <w:num w:numId="23" w16cid:durableId="1799226514">
    <w:abstractNumId w:val="12"/>
  </w:num>
  <w:num w:numId="24" w16cid:durableId="1093209932">
    <w:abstractNumId w:val="30"/>
  </w:num>
  <w:num w:numId="25" w16cid:durableId="1285892536">
    <w:abstractNumId w:val="28"/>
  </w:num>
  <w:num w:numId="26" w16cid:durableId="542211166">
    <w:abstractNumId w:val="22"/>
  </w:num>
  <w:num w:numId="27" w16cid:durableId="2111008264">
    <w:abstractNumId w:val="21"/>
  </w:num>
  <w:num w:numId="28" w16cid:durableId="987515060">
    <w:abstractNumId w:val="15"/>
  </w:num>
  <w:num w:numId="29" w16cid:durableId="1320229561">
    <w:abstractNumId w:val="4"/>
  </w:num>
  <w:num w:numId="30" w16cid:durableId="1720057902">
    <w:abstractNumId w:val="6"/>
  </w:num>
  <w:num w:numId="31" w16cid:durableId="623315943">
    <w:abstractNumId w:val="5"/>
  </w:num>
  <w:num w:numId="32" w16cid:durableId="378163697">
    <w:abstractNumId w:val="24"/>
  </w:num>
  <w:num w:numId="33" w16cid:durableId="1704862423">
    <w:abstractNumId w:val="3"/>
  </w:num>
  <w:num w:numId="34" w16cid:durableId="718555791">
    <w:abstractNumId w:val="17"/>
  </w:num>
  <w:num w:numId="35" w16cid:durableId="1697459119">
    <w:abstractNumId w:val="9"/>
  </w:num>
  <w:num w:numId="36" w16cid:durableId="289752386">
    <w:abstractNumId w:val="28"/>
  </w:num>
  <w:num w:numId="37" w16cid:durableId="77247492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3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072A3"/>
    <w:rsid w:val="000158D6"/>
    <w:rsid w:val="000207B0"/>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A3A"/>
    <w:rsid w:val="00062E5D"/>
    <w:rsid w:val="00063BD3"/>
    <w:rsid w:val="0006498D"/>
    <w:rsid w:val="0006560F"/>
    <w:rsid w:val="00066D89"/>
    <w:rsid w:val="00067CB2"/>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15C1"/>
    <w:rsid w:val="000D246F"/>
    <w:rsid w:val="000D31BB"/>
    <w:rsid w:val="000D726C"/>
    <w:rsid w:val="000D7FB0"/>
    <w:rsid w:val="000E0285"/>
    <w:rsid w:val="000E05FE"/>
    <w:rsid w:val="000E09FD"/>
    <w:rsid w:val="000E2339"/>
    <w:rsid w:val="000E2E5E"/>
    <w:rsid w:val="000E39D3"/>
    <w:rsid w:val="000E42F3"/>
    <w:rsid w:val="000E5232"/>
    <w:rsid w:val="000E5A16"/>
    <w:rsid w:val="000E611B"/>
    <w:rsid w:val="000E6473"/>
    <w:rsid w:val="000E6748"/>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695"/>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CCD"/>
    <w:rsid w:val="0017704C"/>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4E45"/>
    <w:rsid w:val="001F556C"/>
    <w:rsid w:val="0020027C"/>
    <w:rsid w:val="0020117F"/>
    <w:rsid w:val="00201450"/>
    <w:rsid w:val="0020267C"/>
    <w:rsid w:val="00202D77"/>
    <w:rsid w:val="00203435"/>
    <w:rsid w:val="00203A61"/>
    <w:rsid w:val="002042D7"/>
    <w:rsid w:val="00204703"/>
    <w:rsid w:val="002058FE"/>
    <w:rsid w:val="00207C35"/>
    <w:rsid w:val="002116F5"/>
    <w:rsid w:val="002118D4"/>
    <w:rsid w:val="00214BD8"/>
    <w:rsid w:val="00216167"/>
    <w:rsid w:val="00230D38"/>
    <w:rsid w:val="0023239C"/>
    <w:rsid w:val="00237B53"/>
    <w:rsid w:val="00237C72"/>
    <w:rsid w:val="00242651"/>
    <w:rsid w:val="002432DC"/>
    <w:rsid w:val="00244F28"/>
    <w:rsid w:val="0024705E"/>
    <w:rsid w:val="00247BC6"/>
    <w:rsid w:val="002501E3"/>
    <w:rsid w:val="00250D8A"/>
    <w:rsid w:val="0025147D"/>
    <w:rsid w:val="002515BC"/>
    <w:rsid w:val="0025161E"/>
    <w:rsid w:val="0025440C"/>
    <w:rsid w:val="002570F3"/>
    <w:rsid w:val="002624B7"/>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A47B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06644"/>
    <w:rsid w:val="00311985"/>
    <w:rsid w:val="0031354D"/>
    <w:rsid w:val="003155D4"/>
    <w:rsid w:val="00317282"/>
    <w:rsid w:val="003224F3"/>
    <w:rsid w:val="003236B7"/>
    <w:rsid w:val="00324B16"/>
    <w:rsid w:val="0033073F"/>
    <w:rsid w:val="003312CB"/>
    <w:rsid w:val="0033191C"/>
    <w:rsid w:val="00331CC4"/>
    <w:rsid w:val="00333D22"/>
    <w:rsid w:val="00334585"/>
    <w:rsid w:val="0033523A"/>
    <w:rsid w:val="00337A26"/>
    <w:rsid w:val="00340820"/>
    <w:rsid w:val="00341FCD"/>
    <w:rsid w:val="00343328"/>
    <w:rsid w:val="00347B65"/>
    <w:rsid w:val="0035233F"/>
    <w:rsid w:val="0035397A"/>
    <w:rsid w:val="003564BD"/>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35B"/>
    <w:rsid w:val="003E6A72"/>
    <w:rsid w:val="003E6DC7"/>
    <w:rsid w:val="003E6E74"/>
    <w:rsid w:val="003E7781"/>
    <w:rsid w:val="003F24CE"/>
    <w:rsid w:val="003F30E6"/>
    <w:rsid w:val="003F32C2"/>
    <w:rsid w:val="003F7B6C"/>
    <w:rsid w:val="00400238"/>
    <w:rsid w:val="00400AE2"/>
    <w:rsid w:val="00401C66"/>
    <w:rsid w:val="00401E67"/>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515"/>
    <w:rsid w:val="00432A2A"/>
    <w:rsid w:val="004404BD"/>
    <w:rsid w:val="0044250C"/>
    <w:rsid w:val="00442C85"/>
    <w:rsid w:val="00444935"/>
    <w:rsid w:val="00447DF9"/>
    <w:rsid w:val="00450BA8"/>
    <w:rsid w:val="00452247"/>
    <w:rsid w:val="004526B9"/>
    <w:rsid w:val="00452B67"/>
    <w:rsid w:val="00452D4C"/>
    <w:rsid w:val="00454151"/>
    <w:rsid w:val="0045715C"/>
    <w:rsid w:val="004606EE"/>
    <w:rsid w:val="004626DA"/>
    <w:rsid w:val="00462C11"/>
    <w:rsid w:val="00464277"/>
    <w:rsid w:val="00465214"/>
    <w:rsid w:val="00471037"/>
    <w:rsid w:val="00471546"/>
    <w:rsid w:val="00471B1A"/>
    <w:rsid w:val="00471FC6"/>
    <w:rsid w:val="004739F7"/>
    <w:rsid w:val="00474054"/>
    <w:rsid w:val="00474116"/>
    <w:rsid w:val="00475DAE"/>
    <w:rsid w:val="004763BB"/>
    <w:rsid w:val="00477D49"/>
    <w:rsid w:val="004802C6"/>
    <w:rsid w:val="0048148C"/>
    <w:rsid w:val="00481779"/>
    <w:rsid w:val="0048251D"/>
    <w:rsid w:val="004829E0"/>
    <w:rsid w:val="00484AB8"/>
    <w:rsid w:val="00486481"/>
    <w:rsid w:val="0048775C"/>
    <w:rsid w:val="00491BAF"/>
    <w:rsid w:val="00491CB9"/>
    <w:rsid w:val="00496777"/>
    <w:rsid w:val="004A11BC"/>
    <w:rsid w:val="004A2990"/>
    <w:rsid w:val="004A3365"/>
    <w:rsid w:val="004A6EB6"/>
    <w:rsid w:val="004B0BC4"/>
    <w:rsid w:val="004B1219"/>
    <w:rsid w:val="004B1794"/>
    <w:rsid w:val="004B269D"/>
    <w:rsid w:val="004B6994"/>
    <w:rsid w:val="004C03BB"/>
    <w:rsid w:val="004C1C64"/>
    <w:rsid w:val="004C3295"/>
    <w:rsid w:val="004C6137"/>
    <w:rsid w:val="004C645A"/>
    <w:rsid w:val="004C7795"/>
    <w:rsid w:val="004D1A36"/>
    <w:rsid w:val="004D2BA5"/>
    <w:rsid w:val="004D34F4"/>
    <w:rsid w:val="004D3FFA"/>
    <w:rsid w:val="004D4714"/>
    <w:rsid w:val="004D688F"/>
    <w:rsid w:val="004E0589"/>
    <w:rsid w:val="004E23D0"/>
    <w:rsid w:val="004E52D8"/>
    <w:rsid w:val="004E603D"/>
    <w:rsid w:val="004F267C"/>
    <w:rsid w:val="004F2B1B"/>
    <w:rsid w:val="004F4735"/>
    <w:rsid w:val="004F7E96"/>
    <w:rsid w:val="0050065F"/>
    <w:rsid w:val="00506128"/>
    <w:rsid w:val="00507060"/>
    <w:rsid w:val="005107BB"/>
    <w:rsid w:val="00510AB6"/>
    <w:rsid w:val="0051353D"/>
    <w:rsid w:val="00514E58"/>
    <w:rsid w:val="00514F26"/>
    <w:rsid w:val="00515197"/>
    <w:rsid w:val="0051662A"/>
    <w:rsid w:val="00522B90"/>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3ED0"/>
    <w:rsid w:val="0054445F"/>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0E3"/>
    <w:rsid w:val="00573E36"/>
    <w:rsid w:val="005751E9"/>
    <w:rsid w:val="005817DD"/>
    <w:rsid w:val="00585766"/>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478A4"/>
    <w:rsid w:val="006501AB"/>
    <w:rsid w:val="006511C8"/>
    <w:rsid w:val="00651F35"/>
    <w:rsid w:val="00653C6C"/>
    <w:rsid w:val="00654625"/>
    <w:rsid w:val="0065795A"/>
    <w:rsid w:val="0066135E"/>
    <w:rsid w:val="00662C7C"/>
    <w:rsid w:val="00664817"/>
    <w:rsid w:val="0066490B"/>
    <w:rsid w:val="00664B56"/>
    <w:rsid w:val="006655BC"/>
    <w:rsid w:val="006723B0"/>
    <w:rsid w:val="0067405A"/>
    <w:rsid w:val="00674B37"/>
    <w:rsid w:val="0067603A"/>
    <w:rsid w:val="00680C3D"/>
    <w:rsid w:val="00681ED9"/>
    <w:rsid w:val="00683662"/>
    <w:rsid w:val="00684E18"/>
    <w:rsid w:val="006870A6"/>
    <w:rsid w:val="0068720E"/>
    <w:rsid w:val="00691A7B"/>
    <w:rsid w:val="00693640"/>
    <w:rsid w:val="00695514"/>
    <w:rsid w:val="00695A81"/>
    <w:rsid w:val="0069644A"/>
    <w:rsid w:val="00696FD5"/>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49CE"/>
    <w:rsid w:val="006C4B9F"/>
    <w:rsid w:val="006C58C1"/>
    <w:rsid w:val="006C6949"/>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BFA"/>
    <w:rsid w:val="00701CF7"/>
    <w:rsid w:val="00703D15"/>
    <w:rsid w:val="00704B56"/>
    <w:rsid w:val="00704B68"/>
    <w:rsid w:val="00705C19"/>
    <w:rsid w:val="0071277C"/>
    <w:rsid w:val="00716325"/>
    <w:rsid w:val="007169BE"/>
    <w:rsid w:val="00721575"/>
    <w:rsid w:val="007220A9"/>
    <w:rsid w:val="00723F8A"/>
    <w:rsid w:val="007249A8"/>
    <w:rsid w:val="00724AA1"/>
    <w:rsid w:val="00725665"/>
    <w:rsid w:val="00725A36"/>
    <w:rsid w:val="0072641E"/>
    <w:rsid w:val="00726F62"/>
    <w:rsid w:val="00727FDA"/>
    <w:rsid w:val="007309BA"/>
    <w:rsid w:val="00730F33"/>
    <w:rsid w:val="007318EF"/>
    <w:rsid w:val="00731C4E"/>
    <w:rsid w:val="00732063"/>
    <w:rsid w:val="00737A57"/>
    <w:rsid w:val="00740C7B"/>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6E7"/>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3B63"/>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3506E"/>
    <w:rsid w:val="00841610"/>
    <w:rsid w:val="00842D2B"/>
    <w:rsid w:val="0084446B"/>
    <w:rsid w:val="00844E07"/>
    <w:rsid w:val="00846521"/>
    <w:rsid w:val="00856315"/>
    <w:rsid w:val="00856C85"/>
    <w:rsid w:val="00856E38"/>
    <w:rsid w:val="00860310"/>
    <w:rsid w:val="00861C1A"/>
    <w:rsid w:val="00863AB0"/>
    <w:rsid w:val="00864CE7"/>
    <w:rsid w:val="00865D54"/>
    <w:rsid w:val="0086641A"/>
    <w:rsid w:val="00867707"/>
    <w:rsid w:val="008703CD"/>
    <w:rsid w:val="008717D5"/>
    <w:rsid w:val="0087213B"/>
    <w:rsid w:val="008749AF"/>
    <w:rsid w:val="0088075E"/>
    <w:rsid w:val="00883B96"/>
    <w:rsid w:val="00884998"/>
    <w:rsid w:val="00886867"/>
    <w:rsid w:val="008873B7"/>
    <w:rsid w:val="00891020"/>
    <w:rsid w:val="00892A0C"/>
    <w:rsid w:val="0089305E"/>
    <w:rsid w:val="00893191"/>
    <w:rsid w:val="00894B38"/>
    <w:rsid w:val="0089655E"/>
    <w:rsid w:val="008A1A61"/>
    <w:rsid w:val="008A3C08"/>
    <w:rsid w:val="008A628F"/>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33A6"/>
    <w:rsid w:val="00904D92"/>
    <w:rsid w:val="009058A5"/>
    <w:rsid w:val="00906493"/>
    <w:rsid w:val="00906F4D"/>
    <w:rsid w:val="009101C0"/>
    <w:rsid w:val="00910CAF"/>
    <w:rsid w:val="009114BA"/>
    <w:rsid w:val="0091427F"/>
    <w:rsid w:val="00915C17"/>
    <w:rsid w:val="009166CE"/>
    <w:rsid w:val="00920CC8"/>
    <w:rsid w:val="0092130B"/>
    <w:rsid w:val="009247D9"/>
    <w:rsid w:val="0092664C"/>
    <w:rsid w:val="00927065"/>
    <w:rsid w:val="00930970"/>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52F4"/>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81DEE"/>
    <w:rsid w:val="0099142A"/>
    <w:rsid w:val="00991BBD"/>
    <w:rsid w:val="00992D73"/>
    <w:rsid w:val="009930CF"/>
    <w:rsid w:val="00995664"/>
    <w:rsid w:val="00997E1E"/>
    <w:rsid w:val="00997EE7"/>
    <w:rsid w:val="009A0D87"/>
    <w:rsid w:val="009A26C9"/>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1DF"/>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39F3"/>
    <w:rsid w:val="009E4361"/>
    <w:rsid w:val="009E78CC"/>
    <w:rsid w:val="009E7905"/>
    <w:rsid w:val="009F0651"/>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48FC"/>
    <w:rsid w:val="00A46DDB"/>
    <w:rsid w:val="00A53EB7"/>
    <w:rsid w:val="00A540D9"/>
    <w:rsid w:val="00A5480B"/>
    <w:rsid w:val="00A567CE"/>
    <w:rsid w:val="00A6101F"/>
    <w:rsid w:val="00A61CFE"/>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AF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5C8F"/>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3A6C"/>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4DE"/>
    <w:rsid w:val="00BB2BC2"/>
    <w:rsid w:val="00BB2D1B"/>
    <w:rsid w:val="00BB4998"/>
    <w:rsid w:val="00BB6EF7"/>
    <w:rsid w:val="00BC042F"/>
    <w:rsid w:val="00BC0562"/>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0436B"/>
    <w:rsid w:val="00C10357"/>
    <w:rsid w:val="00C11170"/>
    <w:rsid w:val="00C13516"/>
    <w:rsid w:val="00C13B62"/>
    <w:rsid w:val="00C21690"/>
    <w:rsid w:val="00C26FCC"/>
    <w:rsid w:val="00C274B9"/>
    <w:rsid w:val="00C32EA3"/>
    <w:rsid w:val="00C3337F"/>
    <w:rsid w:val="00C43901"/>
    <w:rsid w:val="00C51307"/>
    <w:rsid w:val="00C52F1A"/>
    <w:rsid w:val="00C551A8"/>
    <w:rsid w:val="00C5698B"/>
    <w:rsid w:val="00C579A7"/>
    <w:rsid w:val="00C57FB9"/>
    <w:rsid w:val="00C60CC5"/>
    <w:rsid w:val="00C610DA"/>
    <w:rsid w:val="00C611BF"/>
    <w:rsid w:val="00C62977"/>
    <w:rsid w:val="00C637D1"/>
    <w:rsid w:val="00C663D6"/>
    <w:rsid w:val="00C67F52"/>
    <w:rsid w:val="00C71A1D"/>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97F7E"/>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32E1"/>
    <w:rsid w:val="00D244A1"/>
    <w:rsid w:val="00D24645"/>
    <w:rsid w:val="00D25047"/>
    <w:rsid w:val="00D26861"/>
    <w:rsid w:val="00D276F8"/>
    <w:rsid w:val="00D33AEC"/>
    <w:rsid w:val="00D36C34"/>
    <w:rsid w:val="00D40F78"/>
    <w:rsid w:val="00D43551"/>
    <w:rsid w:val="00D445A3"/>
    <w:rsid w:val="00D44DF7"/>
    <w:rsid w:val="00D50F16"/>
    <w:rsid w:val="00D55770"/>
    <w:rsid w:val="00D55847"/>
    <w:rsid w:val="00D56012"/>
    <w:rsid w:val="00D60B8C"/>
    <w:rsid w:val="00D61449"/>
    <w:rsid w:val="00D62928"/>
    <w:rsid w:val="00D6398F"/>
    <w:rsid w:val="00D641CA"/>
    <w:rsid w:val="00D71330"/>
    <w:rsid w:val="00D713F3"/>
    <w:rsid w:val="00D71810"/>
    <w:rsid w:val="00D719D0"/>
    <w:rsid w:val="00D733A9"/>
    <w:rsid w:val="00D75278"/>
    <w:rsid w:val="00D75E61"/>
    <w:rsid w:val="00D803EB"/>
    <w:rsid w:val="00D81B21"/>
    <w:rsid w:val="00D82D9A"/>
    <w:rsid w:val="00D84585"/>
    <w:rsid w:val="00D86D13"/>
    <w:rsid w:val="00D90F96"/>
    <w:rsid w:val="00D91B69"/>
    <w:rsid w:val="00D97930"/>
    <w:rsid w:val="00DB0EDD"/>
    <w:rsid w:val="00DB182A"/>
    <w:rsid w:val="00DB2CC5"/>
    <w:rsid w:val="00DC2202"/>
    <w:rsid w:val="00DC31B7"/>
    <w:rsid w:val="00DC334D"/>
    <w:rsid w:val="00DC402E"/>
    <w:rsid w:val="00DC5468"/>
    <w:rsid w:val="00DC5CC0"/>
    <w:rsid w:val="00DC5E5B"/>
    <w:rsid w:val="00DC5E87"/>
    <w:rsid w:val="00DC6BEA"/>
    <w:rsid w:val="00DD069D"/>
    <w:rsid w:val="00DD0DFC"/>
    <w:rsid w:val="00DD3397"/>
    <w:rsid w:val="00DD5DB4"/>
    <w:rsid w:val="00DD7AB0"/>
    <w:rsid w:val="00DE0691"/>
    <w:rsid w:val="00DE07C4"/>
    <w:rsid w:val="00DE17D1"/>
    <w:rsid w:val="00DE3F8F"/>
    <w:rsid w:val="00DE796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379"/>
    <w:rsid w:val="00E3146E"/>
    <w:rsid w:val="00E3428D"/>
    <w:rsid w:val="00E35C78"/>
    <w:rsid w:val="00E3666D"/>
    <w:rsid w:val="00E37D07"/>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D39A3"/>
    <w:rsid w:val="00EE0365"/>
    <w:rsid w:val="00EE14D6"/>
    <w:rsid w:val="00EE15FC"/>
    <w:rsid w:val="00EE1FCD"/>
    <w:rsid w:val="00EE3795"/>
    <w:rsid w:val="00EE41B4"/>
    <w:rsid w:val="00EE6AE0"/>
    <w:rsid w:val="00EF2E06"/>
    <w:rsid w:val="00EF45AD"/>
    <w:rsid w:val="00EF4E63"/>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37ED3"/>
    <w:rsid w:val="00F4108D"/>
    <w:rsid w:val="00F42184"/>
    <w:rsid w:val="00F440EC"/>
    <w:rsid w:val="00F44E41"/>
    <w:rsid w:val="00F45D58"/>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211A"/>
    <w:rsid w:val="00F93FD0"/>
    <w:rsid w:val="00F9620D"/>
    <w:rsid w:val="00F97335"/>
    <w:rsid w:val="00F97A47"/>
    <w:rsid w:val="00FA1621"/>
    <w:rsid w:val="00FA189E"/>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3"/>
    <o:shapelayout v:ext="edit">
      <o:idmap v:ext="edit" data="2"/>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5730E3"/>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7" ma:contentTypeDescription="Create a new document." ma:contentTypeScope="" ma:versionID="6be83744c0b9f4e07b0ae596a4e4dec5">
  <xsd:schema xmlns:xsd="http://www.w3.org/2001/XMLSchema" xmlns:xs="http://www.w3.org/2001/XMLSchema" xmlns:p="http://schemas.microsoft.com/office/2006/metadata/properties" xmlns:ns2="77bf5497-29a5-4877-b516-b1cf99bde266" xmlns:ns3="92c425b6-91f1-4cbe-95d3-c423884034b3" xmlns:ns4="0a0ee851-ac6e-40fa-81ec-25d9fad23415" targetNamespace="http://schemas.microsoft.com/office/2006/metadata/properties" ma:root="true" ma:fieldsID="9f16f6f683012f185380e3bf451945c5" ns2:_="" ns3:_="" ns4:_="">
    <xsd:import namespace="77bf5497-29a5-4877-b516-b1cf99bde266"/>
    <xsd:import namespace="92c425b6-91f1-4cbe-95d3-c423884034b3"/>
    <xsd:import namespace="0a0ee851-ac6e-40fa-81ec-25d9fad23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6bebbb-fc69-4105-bc2c-47d49f4eb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ee851-ac6e-40fa-81ec-25d9fad2341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5a61e9-f0b9-42be-9d45-a5a05ff2769f}" ma:internalName="TaxCatchAll" ma:showField="CatchAllData" ma:web="0a0ee851-ac6e-40fa-81ec-25d9fad23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0a0ee851-ac6e-40fa-81ec-25d9fad23415" xsi:nil="true"/>
    <SharedWithUsers xmlns="77bf5497-29a5-4877-b516-b1cf99bde266">
      <UserInfo>
        <DisplayName/>
        <AccountId xsi:nil="true"/>
        <AccountType/>
      </UserInfo>
    </SharedWithUsers>
    <lcf76f155ced4ddcb4097134ff3c332f xmlns="92c425b6-91f1-4cbe-95d3-c423884034b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93A3F-AD4A-419E-9BD8-8DFAFE7C4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0a0ee851-ac6e-40fa-81ec-25d9fad23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3.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4.xml><?xml version="1.0" encoding="utf-8"?>
<ds:datastoreItem xmlns:ds="http://schemas.openxmlformats.org/officeDocument/2006/customXml" ds:itemID="{B3BBB64B-7F2E-4E32-8922-9FF17B4AD06F}">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0a0ee851-ac6e-40fa-81ec-25d9fad23415"/>
    <ds:schemaRef ds:uri="92c425b6-91f1-4cbe-95d3-c423884034b3"/>
    <ds:schemaRef ds:uri="http://schemas.microsoft.com/office/2006/metadata/properties"/>
    <ds:schemaRef ds:uri="http://schemas.microsoft.com/office/infopath/2007/PartnerControls"/>
    <ds:schemaRef ds:uri="77bf5497-29a5-4877-b516-b1cf99bde266"/>
    <ds:schemaRef ds:uri="http://purl.org/dc/terms/"/>
  </ds:schemaRefs>
</ds:datastoreItem>
</file>

<file path=customXml/itemProps5.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9043</Words>
  <Characters>51551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60474</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Juan Oitaven</cp:lastModifiedBy>
  <cp:revision>2</cp:revision>
  <cp:lastPrinted>2024-03-20T11:24:00Z</cp:lastPrinted>
  <dcterms:created xsi:type="dcterms:W3CDTF">2024-03-20T11:25:00Z</dcterms:created>
  <dcterms:modified xsi:type="dcterms:W3CDTF">2024-03-20T11:25:00Z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r8>100</vt:r8>
  </property>
  <property fmtid="{D5CDD505-2E9C-101B-9397-08002B2CF9AE}" pid="12" name="ContentTypeId">
    <vt:lpwstr>0x0101003E5C88157DE7084881D629CC045F0A65</vt:lpwstr>
  </property>
  <property fmtid="{D5CDD505-2E9C-101B-9397-08002B2CF9AE}" pid="13" name="AuthorIds_UIVersion_512">
    <vt:lpwstr>24</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ediaServiceImageTags">
    <vt:lpwstr/>
  </property>
</Properties>
</file>